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55" w:rsidRPr="00812569" w:rsidRDefault="009E2AA8" w:rsidP="0082339D">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10.9pt;width:35.1pt;height:44.8pt;z-index:251659264;visibility:visible;mso-wrap-edited:f">
            <v:imagedata r:id="rId6" o:title=""/>
            <w10:wrap type="topAndBottom"/>
            <w10:anchorlock/>
          </v:shape>
          <o:OLEObject Type="Embed" ProgID="Word.Picture.8" ShapeID="_x0000_s1026" DrawAspect="Content" ObjectID="_1695123816" r:id="rId7"/>
        </w:object>
      </w:r>
      <w:r w:rsidR="00E86655" w:rsidRPr="00812569">
        <w:rPr>
          <w:b/>
          <w:sz w:val="28"/>
          <w:szCs w:val="28"/>
        </w:rPr>
        <w:t>УКРАЇНА</w:t>
      </w:r>
    </w:p>
    <w:p w:rsidR="00E86655" w:rsidRPr="00812569" w:rsidRDefault="00E86655" w:rsidP="0082339D">
      <w:pPr>
        <w:pStyle w:val="a3"/>
        <w:ind w:firstLine="0"/>
        <w:rPr>
          <w:b/>
          <w:smallCaps/>
          <w:sz w:val="28"/>
          <w:szCs w:val="28"/>
        </w:rPr>
      </w:pPr>
      <w:r w:rsidRPr="00812569">
        <w:rPr>
          <w:b/>
          <w:smallCaps/>
          <w:sz w:val="28"/>
          <w:szCs w:val="28"/>
        </w:rPr>
        <w:t>Виконавчий комітет Нетішинської міської ради</w:t>
      </w:r>
    </w:p>
    <w:p w:rsidR="00E86655" w:rsidRPr="00812569" w:rsidRDefault="00E86655" w:rsidP="0082339D">
      <w:pPr>
        <w:pStyle w:val="a3"/>
        <w:ind w:firstLine="0"/>
        <w:rPr>
          <w:b/>
          <w:smallCaps/>
          <w:sz w:val="28"/>
          <w:szCs w:val="28"/>
        </w:rPr>
      </w:pPr>
      <w:r w:rsidRPr="00812569">
        <w:rPr>
          <w:b/>
          <w:smallCaps/>
          <w:sz w:val="28"/>
          <w:szCs w:val="28"/>
        </w:rPr>
        <w:t>Хмельницької області</w:t>
      </w:r>
    </w:p>
    <w:p w:rsidR="00E86655" w:rsidRPr="00812569" w:rsidRDefault="00E86655" w:rsidP="0082339D">
      <w:pPr>
        <w:jc w:val="both"/>
        <w:rPr>
          <w:sz w:val="28"/>
          <w:szCs w:val="28"/>
          <w:lang w:val="uk-UA" w:eastAsia="uk-UA"/>
        </w:rPr>
      </w:pPr>
    </w:p>
    <w:p w:rsidR="00E86655" w:rsidRPr="00812569" w:rsidRDefault="00E86655" w:rsidP="0082339D">
      <w:pPr>
        <w:jc w:val="center"/>
        <w:rPr>
          <w:b/>
          <w:sz w:val="32"/>
          <w:szCs w:val="32"/>
          <w:lang w:val="uk-UA"/>
        </w:rPr>
      </w:pPr>
      <w:r w:rsidRPr="00812569">
        <w:rPr>
          <w:b/>
          <w:sz w:val="32"/>
          <w:szCs w:val="32"/>
          <w:lang w:val="uk-UA"/>
        </w:rPr>
        <w:t>Р І Ш Е Н Н Я</w:t>
      </w:r>
    </w:p>
    <w:p w:rsidR="00E86655" w:rsidRPr="00812569" w:rsidRDefault="00E86655" w:rsidP="0082339D">
      <w:pPr>
        <w:jc w:val="center"/>
        <w:rPr>
          <w:b/>
          <w:sz w:val="28"/>
          <w:szCs w:val="28"/>
          <w:lang w:val="uk-UA" w:eastAsia="uk-UA"/>
        </w:rPr>
      </w:pPr>
    </w:p>
    <w:p w:rsidR="00E86655" w:rsidRPr="00812569" w:rsidRDefault="00A425EC" w:rsidP="0082339D">
      <w:pPr>
        <w:jc w:val="both"/>
        <w:rPr>
          <w:b/>
          <w:sz w:val="28"/>
          <w:szCs w:val="28"/>
          <w:lang w:val="uk-UA" w:eastAsia="uk-UA"/>
        </w:rPr>
      </w:pPr>
      <w:r>
        <w:rPr>
          <w:b/>
          <w:sz w:val="28"/>
          <w:szCs w:val="28"/>
          <w:lang w:val="uk-UA" w:eastAsia="uk-UA"/>
        </w:rPr>
        <w:t>07</w:t>
      </w:r>
      <w:r w:rsidR="00E86655" w:rsidRPr="00812569">
        <w:rPr>
          <w:b/>
          <w:sz w:val="28"/>
          <w:szCs w:val="28"/>
          <w:lang w:val="uk-UA" w:eastAsia="uk-UA"/>
        </w:rPr>
        <w:t>.10.2021</w:t>
      </w:r>
      <w:r w:rsidR="00E86655" w:rsidRPr="00812569">
        <w:rPr>
          <w:b/>
          <w:sz w:val="28"/>
          <w:szCs w:val="28"/>
          <w:lang w:val="uk-UA" w:eastAsia="uk-UA"/>
        </w:rPr>
        <w:tab/>
      </w:r>
      <w:r w:rsidR="00E86655" w:rsidRPr="00812569">
        <w:rPr>
          <w:b/>
          <w:sz w:val="28"/>
          <w:szCs w:val="28"/>
          <w:lang w:val="uk-UA" w:eastAsia="uk-UA"/>
        </w:rPr>
        <w:tab/>
      </w:r>
      <w:r w:rsidR="00E86655" w:rsidRPr="00812569">
        <w:rPr>
          <w:b/>
          <w:sz w:val="28"/>
          <w:szCs w:val="28"/>
          <w:lang w:val="uk-UA" w:eastAsia="uk-UA"/>
        </w:rPr>
        <w:tab/>
      </w:r>
      <w:r w:rsidR="00E86655" w:rsidRPr="00812569">
        <w:rPr>
          <w:b/>
          <w:sz w:val="28"/>
          <w:szCs w:val="28"/>
          <w:lang w:val="uk-UA" w:eastAsia="uk-UA"/>
        </w:rPr>
        <w:tab/>
      </w:r>
      <w:r w:rsidR="00E86655" w:rsidRPr="00812569">
        <w:rPr>
          <w:b/>
          <w:sz w:val="28"/>
          <w:szCs w:val="28"/>
          <w:lang w:val="uk-UA" w:eastAsia="uk-UA"/>
        </w:rPr>
        <w:tab/>
        <w:t>Нетішин</w:t>
      </w:r>
      <w:r w:rsidR="00E86655" w:rsidRPr="00812569">
        <w:rPr>
          <w:b/>
          <w:sz w:val="28"/>
          <w:szCs w:val="28"/>
          <w:lang w:val="uk-UA" w:eastAsia="uk-UA"/>
        </w:rPr>
        <w:tab/>
      </w:r>
      <w:r w:rsidR="00E86655" w:rsidRPr="00812569">
        <w:rPr>
          <w:b/>
          <w:sz w:val="28"/>
          <w:szCs w:val="28"/>
          <w:lang w:val="uk-UA" w:eastAsia="uk-UA"/>
        </w:rPr>
        <w:tab/>
      </w:r>
      <w:r w:rsidR="00E86655" w:rsidRPr="00812569">
        <w:rPr>
          <w:b/>
          <w:sz w:val="28"/>
          <w:szCs w:val="28"/>
          <w:lang w:val="uk-UA" w:eastAsia="uk-UA"/>
        </w:rPr>
        <w:tab/>
      </w:r>
      <w:r w:rsidR="00E86655" w:rsidRPr="00812569">
        <w:rPr>
          <w:b/>
          <w:sz w:val="28"/>
          <w:szCs w:val="28"/>
          <w:lang w:val="uk-UA" w:eastAsia="uk-UA"/>
        </w:rPr>
        <w:tab/>
        <w:t xml:space="preserve">  № </w:t>
      </w:r>
      <w:r w:rsidR="009E2AA8">
        <w:rPr>
          <w:b/>
          <w:sz w:val="28"/>
          <w:szCs w:val="28"/>
          <w:lang w:val="uk-UA" w:eastAsia="uk-UA"/>
        </w:rPr>
        <w:t>471</w:t>
      </w:r>
      <w:r w:rsidR="00E86655" w:rsidRPr="00812569">
        <w:rPr>
          <w:b/>
          <w:sz w:val="28"/>
          <w:szCs w:val="28"/>
          <w:lang w:val="uk-UA" w:eastAsia="uk-UA"/>
        </w:rPr>
        <w:t>/2021</w:t>
      </w:r>
    </w:p>
    <w:p w:rsidR="00E86655" w:rsidRPr="009E2AA8" w:rsidRDefault="00E86655" w:rsidP="0082339D">
      <w:pPr>
        <w:pStyle w:val="a3"/>
        <w:ind w:firstLine="0"/>
        <w:jc w:val="left"/>
        <w:rPr>
          <w:sz w:val="28"/>
          <w:szCs w:val="28"/>
        </w:rPr>
      </w:pPr>
    </w:p>
    <w:p w:rsidR="00E86655" w:rsidRPr="009E2AA8" w:rsidRDefault="00E86655" w:rsidP="0082339D">
      <w:pPr>
        <w:ind w:right="3259"/>
        <w:jc w:val="both"/>
        <w:rPr>
          <w:sz w:val="28"/>
          <w:szCs w:val="28"/>
          <w:lang w:val="uk-UA"/>
        </w:rPr>
      </w:pPr>
      <w:r w:rsidRPr="009E2AA8">
        <w:rPr>
          <w:bCs/>
          <w:sz w:val="28"/>
          <w:szCs w:val="28"/>
          <w:lang w:val="uk-UA"/>
        </w:rPr>
        <w:t>Про платні послуги у к</w:t>
      </w:r>
      <w:r w:rsidRPr="009E2AA8">
        <w:rPr>
          <w:sz w:val="28"/>
          <w:szCs w:val="28"/>
          <w:lang w:val="uk-UA"/>
        </w:rPr>
        <w:t>омунальному некомерційному підприємстві Нетішинської міської ради «Центр первинної медико-санітарної допомоги»</w:t>
      </w:r>
    </w:p>
    <w:p w:rsidR="0082339D" w:rsidRPr="009E2AA8" w:rsidRDefault="0082339D" w:rsidP="0082339D">
      <w:pPr>
        <w:jc w:val="both"/>
        <w:rPr>
          <w:bCs/>
          <w:sz w:val="28"/>
          <w:szCs w:val="28"/>
          <w:lang w:val="uk-UA"/>
        </w:rPr>
      </w:pPr>
    </w:p>
    <w:p w:rsidR="0082339D" w:rsidRPr="00812569" w:rsidRDefault="0082339D" w:rsidP="0082339D">
      <w:pPr>
        <w:ind w:firstLine="567"/>
        <w:jc w:val="both"/>
        <w:rPr>
          <w:sz w:val="28"/>
          <w:szCs w:val="28"/>
          <w:lang w:val="uk-UA"/>
        </w:rPr>
      </w:pPr>
      <w:r w:rsidRPr="00812569">
        <w:rPr>
          <w:spacing w:val="-2"/>
          <w:sz w:val="28"/>
          <w:szCs w:val="28"/>
          <w:lang w:val="uk-UA"/>
        </w:rPr>
        <w:t>Відповідно до підпункту 2 пункту «а» статті 28, пункту 3 частини 4 статті 42</w:t>
      </w:r>
      <w:r w:rsidRPr="00812569">
        <w:rPr>
          <w:sz w:val="28"/>
          <w:szCs w:val="28"/>
          <w:lang w:val="uk-UA"/>
        </w:rPr>
        <w:t xml:space="preserve"> Закону України «Про місцеве самоврядування в Україні», постанови Кабінету Міністрів України від 17 вересня 1996 року № 1138 «Про затвердження переліку платних послуг, які надаються в державних і комунальних закладах охорони здоров'я та вищих медичних навчальних закладах», листа КНП НМР «Центр </w:t>
      </w:r>
      <w:r w:rsidRPr="00812569">
        <w:rPr>
          <w:spacing w:val="-2"/>
          <w:sz w:val="28"/>
          <w:szCs w:val="28"/>
          <w:lang w:val="uk-UA"/>
        </w:rPr>
        <w:t>первинної медико-санітарної допомоги», зареєстрованого у виконавчому комітеті</w:t>
      </w:r>
      <w:r w:rsidRPr="00812569">
        <w:rPr>
          <w:sz w:val="28"/>
          <w:szCs w:val="28"/>
          <w:lang w:val="uk-UA"/>
        </w:rPr>
        <w:t xml:space="preserve"> Нетішинської міської ради 22 вересня 2021 року за № 25/3691-01-11/2021, виконавчий комітет Нетішинської міської ради    в и р і ш и в:</w:t>
      </w:r>
    </w:p>
    <w:p w:rsidR="0082339D" w:rsidRPr="00812569" w:rsidRDefault="0082339D" w:rsidP="0082339D">
      <w:pPr>
        <w:ind w:firstLine="567"/>
        <w:jc w:val="both"/>
        <w:rPr>
          <w:sz w:val="12"/>
          <w:szCs w:val="12"/>
          <w:lang w:val="uk-UA"/>
        </w:rPr>
      </w:pPr>
    </w:p>
    <w:p w:rsidR="0082339D" w:rsidRPr="00812569" w:rsidRDefault="0082339D" w:rsidP="0082339D">
      <w:pPr>
        <w:pStyle w:val="a4"/>
        <w:spacing w:before="0" w:beforeAutospacing="0" w:after="0" w:afterAutospacing="0"/>
        <w:ind w:firstLine="567"/>
        <w:jc w:val="both"/>
        <w:rPr>
          <w:sz w:val="28"/>
          <w:szCs w:val="28"/>
          <w:lang w:val="uk-UA"/>
        </w:rPr>
      </w:pPr>
      <w:r w:rsidRPr="00812569">
        <w:rPr>
          <w:sz w:val="28"/>
          <w:szCs w:val="28"/>
          <w:lang w:val="uk-UA"/>
        </w:rPr>
        <w:t>1. Затвердити:</w:t>
      </w:r>
    </w:p>
    <w:p w:rsidR="0082339D" w:rsidRPr="00812569" w:rsidRDefault="0082339D" w:rsidP="0082339D">
      <w:pPr>
        <w:pStyle w:val="a4"/>
        <w:spacing w:before="0" w:beforeAutospacing="0" w:after="0" w:afterAutospacing="0"/>
        <w:ind w:firstLine="567"/>
        <w:jc w:val="both"/>
        <w:rPr>
          <w:sz w:val="28"/>
          <w:szCs w:val="28"/>
          <w:lang w:val="uk-UA"/>
        </w:rPr>
      </w:pPr>
      <w:r w:rsidRPr="00812569">
        <w:rPr>
          <w:spacing w:val="-3"/>
          <w:sz w:val="28"/>
          <w:szCs w:val="28"/>
          <w:lang w:val="uk-UA"/>
        </w:rPr>
        <w:t>1.1. положення про надання платних послуг у комунальному некомерційному</w:t>
      </w:r>
      <w:r w:rsidRPr="00812569">
        <w:rPr>
          <w:sz w:val="28"/>
          <w:szCs w:val="28"/>
          <w:lang w:val="uk-UA"/>
        </w:rPr>
        <w:t xml:space="preserve"> підприємстві Нетішинської міської ради «Центр первинної медико-санітарної допомоги» (далі – КНП НМР «Центр ПМСД») згідно з додатком 1;</w:t>
      </w:r>
    </w:p>
    <w:p w:rsidR="0082339D" w:rsidRPr="00812569" w:rsidRDefault="0082339D" w:rsidP="0082339D">
      <w:pPr>
        <w:pStyle w:val="a4"/>
        <w:spacing w:before="0" w:beforeAutospacing="0" w:after="0" w:afterAutospacing="0"/>
        <w:ind w:firstLine="567"/>
        <w:jc w:val="both"/>
        <w:rPr>
          <w:spacing w:val="-2"/>
          <w:sz w:val="28"/>
          <w:szCs w:val="28"/>
          <w:lang w:val="uk-UA"/>
        </w:rPr>
      </w:pPr>
      <w:r w:rsidRPr="00812569">
        <w:rPr>
          <w:spacing w:val="-2"/>
          <w:sz w:val="28"/>
          <w:szCs w:val="28"/>
          <w:lang w:val="uk-UA"/>
        </w:rPr>
        <w:t>1.2. перелік платних послуг у КНП НМР «Центр ПМСД» згідно з додатком 2.</w:t>
      </w:r>
    </w:p>
    <w:p w:rsidR="0082339D" w:rsidRPr="00812569" w:rsidRDefault="0082339D" w:rsidP="0082339D">
      <w:pPr>
        <w:pStyle w:val="a4"/>
        <w:spacing w:before="0" w:beforeAutospacing="0" w:after="0" w:afterAutospacing="0"/>
        <w:ind w:firstLine="567"/>
        <w:jc w:val="both"/>
        <w:rPr>
          <w:sz w:val="28"/>
          <w:szCs w:val="28"/>
          <w:lang w:val="uk-UA"/>
        </w:rPr>
      </w:pPr>
      <w:r w:rsidRPr="00812569">
        <w:rPr>
          <w:sz w:val="28"/>
          <w:szCs w:val="28"/>
          <w:lang w:val="uk-UA"/>
        </w:rPr>
        <w:t>2. Встановити вартість платних послуг у КНП НМР «Центр ПМСД» згідно з додатком 3.</w:t>
      </w:r>
    </w:p>
    <w:p w:rsidR="0082339D" w:rsidRPr="00812569" w:rsidRDefault="0082339D" w:rsidP="0082339D">
      <w:pPr>
        <w:pStyle w:val="a4"/>
        <w:spacing w:before="0" w:beforeAutospacing="0" w:after="0" w:afterAutospacing="0"/>
        <w:ind w:firstLine="567"/>
        <w:jc w:val="both"/>
        <w:rPr>
          <w:sz w:val="28"/>
          <w:szCs w:val="28"/>
          <w:lang w:val="uk-UA"/>
        </w:rPr>
      </w:pPr>
      <w:r w:rsidRPr="00812569">
        <w:rPr>
          <w:sz w:val="28"/>
          <w:szCs w:val="28"/>
          <w:lang w:val="uk-UA"/>
        </w:rPr>
        <w:t>3. КНП НМР «Центр ПМСД» забезпечити:</w:t>
      </w:r>
    </w:p>
    <w:p w:rsidR="0082339D" w:rsidRPr="00812569" w:rsidRDefault="0082339D" w:rsidP="0082339D">
      <w:pPr>
        <w:ind w:firstLine="567"/>
        <w:jc w:val="both"/>
        <w:rPr>
          <w:sz w:val="28"/>
          <w:szCs w:val="28"/>
          <w:lang w:val="uk-UA"/>
        </w:rPr>
      </w:pPr>
      <w:r w:rsidRPr="00812569">
        <w:rPr>
          <w:sz w:val="28"/>
          <w:szCs w:val="28"/>
          <w:lang w:val="uk-UA"/>
        </w:rPr>
        <w:t>3.1. надання платних послуг, вказаних у додатку 2;</w:t>
      </w:r>
    </w:p>
    <w:p w:rsidR="0082339D" w:rsidRPr="00812569" w:rsidRDefault="0082339D" w:rsidP="0082339D">
      <w:pPr>
        <w:ind w:firstLine="567"/>
        <w:jc w:val="both"/>
        <w:rPr>
          <w:sz w:val="28"/>
          <w:szCs w:val="28"/>
          <w:lang w:val="uk-UA"/>
        </w:rPr>
      </w:pPr>
      <w:r w:rsidRPr="00812569">
        <w:rPr>
          <w:sz w:val="28"/>
          <w:szCs w:val="28"/>
          <w:lang w:val="uk-UA"/>
        </w:rPr>
        <w:t>3.2. постійну координацію робіт з надання платних послуг;</w:t>
      </w:r>
    </w:p>
    <w:p w:rsidR="0082339D" w:rsidRPr="00812569" w:rsidRDefault="0082339D" w:rsidP="0082339D">
      <w:pPr>
        <w:ind w:firstLine="567"/>
        <w:jc w:val="both"/>
        <w:rPr>
          <w:sz w:val="28"/>
          <w:szCs w:val="28"/>
          <w:lang w:val="uk-UA"/>
        </w:rPr>
      </w:pPr>
      <w:r w:rsidRPr="00812569">
        <w:rPr>
          <w:sz w:val="28"/>
          <w:szCs w:val="28"/>
          <w:lang w:val="uk-UA"/>
        </w:rPr>
        <w:t>3.3. облік та використання коштів, отриманих від надання платних послуг;</w:t>
      </w:r>
    </w:p>
    <w:p w:rsidR="0082339D" w:rsidRPr="00812569" w:rsidRDefault="0082339D" w:rsidP="0082339D">
      <w:pPr>
        <w:ind w:firstLine="567"/>
        <w:jc w:val="both"/>
        <w:rPr>
          <w:sz w:val="28"/>
          <w:szCs w:val="28"/>
          <w:lang w:val="uk-UA"/>
        </w:rPr>
      </w:pPr>
      <w:r w:rsidRPr="00812569">
        <w:rPr>
          <w:sz w:val="28"/>
          <w:szCs w:val="28"/>
          <w:lang w:val="uk-UA"/>
        </w:rPr>
        <w:t xml:space="preserve">3.4. щоквартальне інформування виконавчого комітету Нетішинської міської ради до 01 числа, що настає за звітним періодом. </w:t>
      </w:r>
    </w:p>
    <w:p w:rsidR="0082339D" w:rsidRPr="00812569" w:rsidRDefault="0082339D" w:rsidP="0082339D">
      <w:pPr>
        <w:ind w:firstLine="567"/>
        <w:jc w:val="both"/>
        <w:rPr>
          <w:sz w:val="28"/>
          <w:szCs w:val="28"/>
          <w:lang w:val="uk-UA"/>
        </w:rPr>
      </w:pPr>
      <w:r w:rsidRPr="00812569">
        <w:rPr>
          <w:sz w:val="28"/>
          <w:szCs w:val="28"/>
          <w:lang w:val="uk-UA"/>
        </w:rPr>
        <w:t xml:space="preserve">4. Рішення набирає чинності </w:t>
      </w:r>
      <w:r w:rsidR="00812569">
        <w:rPr>
          <w:sz w:val="28"/>
          <w:szCs w:val="28"/>
          <w:lang w:val="uk-UA"/>
        </w:rPr>
        <w:t xml:space="preserve">від дня </w:t>
      </w:r>
      <w:r w:rsidRPr="00812569">
        <w:rPr>
          <w:sz w:val="28"/>
          <w:szCs w:val="28"/>
          <w:lang w:val="uk-UA"/>
        </w:rPr>
        <w:t>затвердження виконавчим комітетом Нетішинської міської ради.</w:t>
      </w:r>
    </w:p>
    <w:p w:rsidR="0082339D" w:rsidRPr="00812569" w:rsidRDefault="0082339D" w:rsidP="0082339D">
      <w:pPr>
        <w:ind w:firstLine="567"/>
        <w:jc w:val="both"/>
        <w:rPr>
          <w:sz w:val="28"/>
          <w:szCs w:val="28"/>
          <w:lang w:val="uk-UA"/>
        </w:rPr>
      </w:pPr>
      <w:r w:rsidRPr="00812569">
        <w:rPr>
          <w:sz w:val="28"/>
          <w:szCs w:val="28"/>
          <w:lang w:val="uk-UA"/>
        </w:rPr>
        <w:t xml:space="preserve">5. Рішення підлягає оприлюдненню на офіційному сайті Нетішинської міської ради. </w:t>
      </w:r>
    </w:p>
    <w:p w:rsidR="0082339D" w:rsidRPr="00812569" w:rsidRDefault="0082339D" w:rsidP="0082339D">
      <w:pPr>
        <w:ind w:firstLine="567"/>
        <w:jc w:val="both"/>
        <w:rPr>
          <w:sz w:val="28"/>
          <w:szCs w:val="28"/>
          <w:lang w:val="uk-UA"/>
        </w:rPr>
      </w:pPr>
      <w:r w:rsidRPr="00812569">
        <w:rPr>
          <w:sz w:val="28"/>
          <w:szCs w:val="28"/>
          <w:lang w:val="uk-UA"/>
        </w:rPr>
        <w:t>6. Контроль за виконанням цього рішення покласти на першого заступника міського голови Олену Хоменко.</w:t>
      </w:r>
    </w:p>
    <w:p w:rsidR="0082339D" w:rsidRPr="009E2AA8" w:rsidRDefault="0082339D" w:rsidP="0082339D">
      <w:pPr>
        <w:jc w:val="both"/>
        <w:rPr>
          <w:sz w:val="28"/>
          <w:szCs w:val="28"/>
          <w:lang w:val="uk-UA"/>
        </w:rPr>
      </w:pPr>
    </w:p>
    <w:p w:rsidR="00812569" w:rsidRPr="00812569" w:rsidRDefault="0082339D" w:rsidP="00812569">
      <w:pPr>
        <w:jc w:val="both"/>
        <w:rPr>
          <w:sz w:val="28"/>
          <w:szCs w:val="28"/>
          <w:lang w:val="uk-UA"/>
        </w:rPr>
      </w:pPr>
      <w:r w:rsidRPr="00812569">
        <w:rPr>
          <w:sz w:val="28"/>
          <w:szCs w:val="28"/>
          <w:lang w:val="uk-UA"/>
        </w:rPr>
        <w:t xml:space="preserve">Міський голова                                                               </w:t>
      </w:r>
      <w:r w:rsidRPr="00812569">
        <w:rPr>
          <w:sz w:val="28"/>
          <w:szCs w:val="28"/>
          <w:lang w:val="uk-UA"/>
        </w:rPr>
        <w:tab/>
        <w:t>Олександр СУПРУНЮК</w:t>
      </w:r>
    </w:p>
    <w:p w:rsidR="00812569" w:rsidRPr="00173152" w:rsidRDefault="0082339D" w:rsidP="00812569">
      <w:pPr>
        <w:ind w:left="5760"/>
        <w:jc w:val="both"/>
        <w:rPr>
          <w:sz w:val="28"/>
          <w:szCs w:val="28"/>
          <w:lang w:val="uk-UA"/>
        </w:rPr>
      </w:pPr>
      <w:r w:rsidRPr="00173152">
        <w:rPr>
          <w:sz w:val="28"/>
          <w:szCs w:val="28"/>
          <w:lang w:val="uk-UA"/>
        </w:rPr>
        <w:lastRenderedPageBreak/>
        <w:t>Додаток 1</w:t>
      </w:r>
    </w:p>
    <w:p w:rsidR="00812569" w:rsidRPr="00173152" w:rsidRDefault="0082339D" w:rsidP="00812569">
      <w:pPr>
        <w:ind w:left="5760"/>
        <w:jc w:val="both"/>
        <w:rPr>
          <w:sz w:val="28"/>
          <w:szCs w:val="28"/>
          <w:lang w:val="uk-UA"/>
        </w:rPr>
      </w:pPr>
      <w:r w:rsidRPr="00173152">
        <w:rPr>
          <w:sz w:val="28"/>
          <w:szCs w:val="28"/>
          <w:lang w:val="uk-UA"/>
        </w:rPr>
        <w:t>до рішення виконавчого</w:t>
      </w:r>
    </w:p>
    <w:p w:rsidR="00812569" w:rsidRPr="00173152" w:rsidRDefault="0082339D" w:rsidP="00812569">
      <w:pPr>
        <w:ind w:left="5760"/>
        <w:jc w:val="both"/>
        <w:rPr>
          <w:sz w:val="28"/>
          <w:szCs w:val="28"/>
          <w:lang w:val="uk-UA"/>
        </w:rPr>
      </w:pPr>
      <w:r w:rsidRPr="00173152">
        <w:rPr>
          <w:sz w:val="28"/>
          <w:szCs w:val="28"/>
          <w:lang w:val="uk-UA"/>
        </w:rPr>
        <w:t>комітету міської ради</w:t>
      </w:r>
    </w:p>
    <w:p w:rsidR="0082339D" w:rsidRPr="00173152" w:rsidRDefault="00A425EC" w:rsidP="00812569">
      <w:pPr>
        <w:ind w:left="5760"/>
        <w:jc w:val="both"/>
        <w:rPr>
          <w:rStyle w:val="Bold"/>
          <w:b w:val="0"/>
          <w:bCs w:val="0"/>
          <w:sz w:val="28"/>
          <w:szCs w:val="28"/>
          <w:lang w:val="uk-UA"/>
        </w:rPr>
      </w:pPr>
      <w:r>
        <w:rPr>
          <w:sz w:val="28"/>
          <w:szCs w:val="28"/>
          <w:lang w:val="uk-UA"/>
        </w:rPr>
        <w:t>07</w:t>
      </w:r>
      <w:r w:rsidR="0082339D" w:rsidRPr="00173152">
        <w:rPr>
          <w:sz w:val="28"/>
          <w:szCs w:val="28"/>
          <w:lang w:val="uk-UA"/>
        </w:rPr>
        <w:t>.10.2021 №</w:t>
      </w:r>
      <w:r w:rsidR="00812569" w:rsidRPr="00173152">
        <w:rPr>
          <w:sz w:val="28"/>
          <w:szCs w:val="28"/>
          <w:lang w:val="uk-UA"/>
        </w:rPr>
        <w:t xml:space="preserve"> </w:t>
      </w:r>
      <w:r w:rsidR="009E2AA8">
        <w:rPr>
          <w:sz w:val="28"/>
          <w:szCs w:val="28"/>
          <w:lang w:val="uk-UA"/>
        </w:rPr>
        <w:t>471</w:t>
      </w:r>
      <w:r w:rsidR="0082339D" w:rsidRPr="00173152">
        <w:rPr>
          <w:sz w:val="28"/>
          <w:szCs w:val="28"/>
          <w:lang w:val="uk-UA"/>
        </w:rPr>
        <w:t>/2021</w:t>
      </w:r>
    </w:p>
    <w:p w:rsidR="0082339D" w:rsidRPr="00173152" w:rsidRDefault="0082339D" w:rsidP="00812569">
      <w:pPr>
        <w:rPr>
          <w:sz w:val="28"/>
          <w:szCs w:val="28"/>
          <w:lang w:val="uk-UA"/>
        </w:rPr>
      </w:pPr>
    </w:p>
    <w:p w:rsidR="00812569" w:rsidRPr="00173152" w:rsidRDefault="0082339D" w:rsidP="00812569">
      <w:pPr>
        <w:pStyle w:val="ShiftAlt"/>
        <w:spacing w:line="240" w:lineRule="auto"/>
        <w:ind w:firstLine="0"/>
        <w:jc w:val="center"/>
        <w:rPr>
          <w:rStyle w:val="Bold"/>
          <w:rFonts w:cs="Times New Roman"/>
          <w:color w:val="auto"/>
          <w:sz w:val="28"/>
          <w:szCs w:val="28"/>
        </w:rPr>
      </w:pPr>
      <w:r w:rsidRPr="00173152">
        <w:rPr>
          <w:rStyle w:val="Bold"/>
          <w:rFonts w:cs="Times New Roman"/>
          <w:color w:val="auto"/>
          <w:sz w:val="28"/>
          <w:szCs w:val="28"/>
        </w:rPr>
        <w:t>ПОЛОЖЕННЯ</w:t>
      </w:r>
    </w:p>
    <w:p w:rsidR="0082339D" w:rsidRPr="00173152" w:rsidRDefault="0082339D" w:rsidP="00812569">
      <w:pPr>
        <w:pStyle w:val="ShiftAlt"/>
        <w:spacing w:line="240" w:lineRule="auto"/>
        <w:ind w:firstLine="0"/>
        <w:jc w:val="center"/>
        <w:rPr>
          <w:rFonts w:cs="Times New Roman"/>
          <w:color w:val="auto"/>
          <w:sz w:val="28"/>
          <w:szCs w:val="28"/>
        </w:rPr>
      </w:pPr>
      <w:r w:rsidRPr="00173152">
        <w:rPr>
          <w:rFonts w:cs="Times New Roman"/>
          <w:color w:val="auto"/>
          <w:sz w:val="28"/>
          <w:szCs w:val="28"/>
        </w:rPr>
        <w:t>про надання платних послуг у комунальному некомерційному підприємстві Нетішинської міської ради</w:t>
      </w:r>
      <w:r w:rsidR="00812569" w:rsidRPr="00173152">
        <w:rPr>
          <w:rFonts w:cs="Times New Roman"/>
          <w:color w:val="auto"/>
          <w:sz w:val="28"/>
          <w:szCs w:val="28"/>
        </w:rPr>
        <w:t xml:space="preserve"> </w:t>
      </w:r>
      <w:r w:rsidRPr="00173152">
        <w:rPr>
          <w:rFonts w:cs="Times New Roman"/>
          <w:color w:val="auto"/>
          <w:sz w:val="28"/>
          <w:szCs w:val="28"/>
        </w:rPr>
        <w:t>«Центр первинної медико-санітарної допомоги»</w:t>
      </w:r>
    </w:p>
    <w:p w:rsidR="0082339D" w:rsidRPr="00173152" w:rsidRDefault="0082339D" w:rsidP="0082339D">
      <w:pPr>
        <w:jc w:val="center"/>
        <w:rPr>
          <w:sz w:val="28"/>
          <w:szCs w:val="28"/>
          <w:lang w:val="uk-UA"/>
        </w:rPr>
      </w:pPr>
    </w:p>
    <w:p w:rsidR="0082339D" w:rsidRPr="00173152" w:rsidRDefault="0082339D" w:rsidP="0082339D">
      <w:pPr>
        <w:pStyle w:val="a5"/>
        <w:ind w:left="0" w:firstLine="0"/>
        <w:jc w:val="center"/>
        <w:rPr>
          <w:b/>
          <w:szCs w:val="28"/>
          <w:lang w:val="uk-UA"/>
        </w:rPr>
      </w:pPr>
      <w:r w:rsidRPr="00173152">
        <w:rPr>
          <w:b/>
          <w:szCs w:val="28"/>
          <w:lang w:val="uk-UA"/>
        </w:rPr>
        <w:t>1. Загальні положення</w:t>
      </w:r>
    </w:p>
    <w:p w:rsidR="0082339D" w:rsidRPr="00173152" w:rsidRDefault="0082339D" w:rsidP="00812569">
      <w:pPr>
        <w:ind w:firstLine="567"/>
        <w:jc w:val="both"/>
        <w:rPr>
          <w:sz w:val="28"/>
          <w:szCs w:val="28"/>
          <w:lang w:val="uk-UA"/>
        </w:rPr>
      </w:pPr>
      <w:r w:rsidRPr="00173152">
        <w:rPr>
          <w:sz w:val="28"/>
          <w:szCs w:val="28"/>
          <w:lang w:val="uk-UA"/>
        </w:rPr>
        <w:t xml:space="preserve">1.1. Положення про платні послуги у комунальному некомерційному підприємстві Нетішинської міської ради «Центр первинної медико-санітарної допомоги» (далі – Положення) розроблено відповідно до Закону України «Основи законодавства України про охорону здоров’я» від 19 листопада </w:t>
      </w:r>
      <w:r w:rsidR="00017688" w:rsidRPr="00173152">
        <w:rPr>
          <w:sz w:val="28"/>
          <w:szCs w:val="28"/>
          <w:lang w:val="uk-UA"/>
        </w:rPr>
        <w:t xml:space="preserve">              </w:t>
      </w:r>
      <w:r w:rsidRPr="00173152">
        <w:rPr>
          <w:sz w:val="28"/>
          <w:szCs w:val="28"/>
          <w:lang w:val="uk-UA"/>
        </w:rPr>
        <w:t>1992 року № 2801-XII, пункту 3.2. статуту комунального некомерційного підприємства Нетішинської міської ради «Центр первинної медико-санітарної допомоги» (далі – КНП НМР «Центр ПМСД»), який передбачає можливість надання платних медичних послуг населенню.</w:t>
      </w:r>
    </w:p>
    <w:p w:rsidR="0082339D" w:rsidRPr="00173152" w:rsidRDefault="0082339D" w:rsidP="00812569">
      <w:pPr>
        <w:ind w:firstLine="567"/>
        <w:jc w:val="both"/>
        <w:rPr>
          <w:sz w:val="28"/>
          <w:szCs w:val="28"/>
          <w:shd w:val="clear" w:color="auto" w:fill="FFFFFF"/>
          <w:lang w:val="uk-UA"/>
        </w:rPr>
      </w:pPr>
      <w:r w:rsidRPr="00173152">
        <w:rPr>
          <w:sz w:val="28"/>
          <w:szCs w:val="28"/>
          <w:lang w:val="uk-UA"/>
        </w:rPr>
        <w:t xml:space="preserve">1.2. В основі Положення </w:t>
      </w:r>
      <w:r w:rsidRPr="00173152">
        <w:rPr>
          <w:sz w:val="28"/>
          <w:szCs w:val="28"/>
          <w:shd w:val="clear" w:color="auto" w:fill="FFFFFF"/>
          <w:lang w:val="uk-UA"/>
        </w:rPr>
        <w:t xml:space="preserve">враховані загальноприйняті норми на основі: </w:t>
      </w:r>
    </w:p>
    <w:p w:rsidR="0082339D" w:rsidRPr="00173152" w:rsidRDefault="00812569" w:rsidP="00812569">
      <w:pPr>
        <w:ind w:firstLine="567"/>
        <w:jc w:val="both"/>
        <w:rPr>
          <w:sz w:val="28"/>
          <w:szCs w:val="28"/>
          <w:shd w:val="clear" w:color="auto" w:fill="FFFFFF"/>
          <w:lang w:val="uk-UA"/>
        </w:rPr>
      </w:pPr>
      <w:r w:rsidRPr="00173152">
        <w:rPr>
          <w:sz w:val="28"/>
          <w:szCs w:val="28"/>
          <w:shd w:val="clear" w:color="auto" w:fill="FFFFFF"/>
          <w:lang w:val="uk-UA"/>
        </w:rPr>
        <w:t>- </w:t>
      </w:r>
      <w:r w:rsidR="0082339D" w:rsidRPr="00173152">
        <w:rPr>
          <w:sz w:val="28"/>
          <w:szCs w:val="28"/>
          <w:shd w:val="clear" w:color="auto" w:fill="FFFFFF"/>
          <w:lang w:val="uk-UA"/>
        </w:rPr>
        <w:t>Закону України «Про місцеве самоврядування в Україні»</w:t>
      </w: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 xml:space="preserve">- Закону України «Про ціни і ціноутворення» </w:t>
      </w: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 Постанови Кабінету Міністрів України від 25 грудня 1996 року № 1548 «Про встановлення повноважень органів виконавчої влади та виконавчих органів міських рад щодо регулювання цін (тарифів)»</w:t>
      </w:r>
    </w:p>
    <w:p w:rsidR="0082339D" w:rsidRPr="00173152" w:rsidRDefault="0082339D" w:rsidP="00812569">
      <w:pPr>
        <w:ind w:firstLine="567"/>
        <w:jc w:val="both"/>
        <w:rPr>
          <w:sz w:val="28"/>
          <w:szCs w:val="28"/>
          <w:lang w:val="uk-UA"/>
        </w:rPr>
      </w:pPr>
      <w:r w:rsidRPr="00173152">
        <w:rPr>
          <w:sz w:val="28"/>
          <w:szCs w:val="28"/>
          <w:shd w:val="clear" w:color="auto" w:fill="FFFFFF"/>
          <w:lang w:val="uk-UA"/>
        </w:rPr>
        <w:t>- Наказу Міністерства фінансів України від 31 грудня 1999 року № 318</w:t>
      </w:r>
      <w:r w:rsidRPr="00173152">
        <w:rPr>
          <w:sz w:val="28"/>
          <w:szCs w:val="28"/>
          <w:lang w:val="uk-UA"/>
        </w:rPr>
        <w:t xml:space="preserve"> «Про затвердження </w:t>
      </w:r>
      <w:r w:rsidRPr="00173152">
        <w:rPr>
          <w:sz w:val="28"/>
          <w:szCs w:val="28"/>
          <w:shd w:val="clear" w:color="auto" w:fill="FFFFFF"/>
          <w:lang w:val="uk-UA"/>
        </w:rPr>
        <w:t>Положення (стандарту) бухгалтерського обліку».</w:t>
      </w:r>
    </w:p>
    <w:p w:rsidR="0082339D" w:rsidRPr="00173152" w:rsidRDefault="0082339D" w:rsidP="00812569">
      <w:pPr>
        <w:ind w:firstLine="567"/>
        <w:jc w:val="both"/>
        <w:rPr>
          <w:sz w:val="28"/>
          <w:szCs w:val="28"/>
          <w:lang w:val="uk-UA"/>
        </w:rPr>
      </w:pPr>
      <w:r w:rsidRPr="00173152">
        <w:rPr>
          <w:sz w:val="28"/>
          <w:szCs w:val="28"/>
          <w:lang w:val="uk-UA"/>
        </w:rPr>
        <w:t>1.3. Перелік послуг у Положенні відповідає переліку платних послуг, які надаються у державних і комунальних закладах охорони здоров’я та вищих медичних навчальних закладах, затвердженому постановою Кабінету Міністрів України від 17 вересня 1996 року № 1138.</w:t>
      </w:r>
    </w:p>
    <w:p w:rsidR="0082339D" w:rsidRPr="00173152" w:rsidRDefault="00812569" w:rsidP="00812569">
      <w:pPr>
        <w:ind w:firstLine="567"/>
        <w:jc w:val="both"/>
        <w:rPr>
          <w:sz w:val="28"/>
          <w:szCs w:val="28"/>
          <w:lang w:val="uk-UA"/>
        </w:rPr>
      </w:pPr>
      <w:r w:rsidRPr="00173152">
        <w:rPr>
          <w:sz w:val="28"/>
          <w:szCs w:val="28"/>
          <w:lang w:val="uk-UA"/>
        </w:rPr>
        <w:t>1.4. </w:t>
      </w:r>
      <w:r w:rsidR="0082339D" w:rsidRPr="00173152">
        <w:rPr>
          <w:sz w:val="28"/>
          <w:szCs w:val="28"/>
          <w:lang w:val="uk-UA"/>
        </w:rPr>
        <w:t xml:space="preserve">Мета Положення </w:t>
      </w:r>
      <w:r w:rsidRPr="00173152">
        <w:rPr>
          <w:sz w:val="28"/>
          <w:szCs w:val="28"/>
          <w:lang w:val="uk-UA"/>
        </w:rPr>
        <w:t>–</w:t>
      </w:r>
      <w:r w:rsidR="0082339D" w:rsidRPr="00173152">
        <w:rPr>
          <w:sz w:val="28"/>
          <w:szCs w:val="28"/>
          <w:lang w:val="uk-UA"/>
        </w:rPr>
        <w:t xml:space="preserve"> регламентувати процес надання платних послуг КНП НМР «Центр ПМСД», створення методологічної бази для розрахунку їх собівартості, обґрунтовувати тарифи на платні послуги. </w:t>
      </w:r>
    </w:p>
    <w:p w:rsidR="0082339D" w:rsidRPr="00173152" w:rsidRDefault="00812569" w:rsidP="00812569">
      <w:pPr>
        <w:ind w:firstLine="567"/>
        <w:jc w:val="both"/>
        <w:rPr>
          <w:sz w:val="28"/>
          <w:szCs w:val="28"/>
          <w:lang w:val="uk-UA"/>
        </w:rPr>
      </w:pPr>
      <w:r w:rsidRPr="00173152">
        <w:rPr>
          <w:sz w:val="28"/>
          <w:szCs w:val="28"/>
          <w:lang w:val="uk-UA"/>
        </w:rPr>
        <w:t>1.5. </w:t>
      </w:r>
      <w:r w:rsidR="0082339D" w:rsidRPr="00173152">
        <w:rPr>
          <w:sz w:val="28"/>
          <w:szCs w:val="28"/>
          <w:lang w:val="uk-UA"/>
        </w:rPr>
        <w:t>Положення відповідає внутрішньому наказу про облікову політику КНП НМР «Центр ПМСД».</w:t>
      </w:r>
    </w:p>
    <w:p w:rsidR="0082339D" w:rsidRPr="00173152" w:rsidRDefault="0082339D" w:rsidP="0082339D">
      <w:pPr>
        <w:jc w:val="both"/>
        <w:rPr>
          <w:sz w:val="28"/>
          <w:szCs w:val="28"/>
          <w:lang w:val="uk-UA"/>
        </w:rPr>
      </w:pPr>
    </w:p>
    <w:p w:rsidR="0082339D" w:rsidRPr="00173152" w:rsidRDefault="0082339D" w:rsidP="0082339D">
      <w:pPr>
        <w:pStyle w:val="a5"/>
        <w:ind w:left="0" w:firstLine="0"/>
        <w:jc w:val="center"/>
        <w:rPr>
          <w:b/>
          <w:szCs w:val="28"/>
          <w:lang w:val="uk-UA"/>
        </w:rPr>
      </w:pPr>
      <w:r w:rsidRPr="00173152">
        <w:rPr>
          <w:b/>
          <w:szCs w:val="28"/>
          <w:lang w:val="uk-UA"/>
        </w:rPr>
        <w:t>2. Платні послуги, які надає КНП НМР «Центр ПМСД»</w:t>
      </w:r>
    </w:p>
    <w:p w:rsidR="0082339D" w:rsidRPr="00173152" w:rsidRDefault="0082339D" w:rsidP="00812569">
      <w:pPr>
        <w:ind w:firstLine="567"/>
        <w:jc w:val="both"/>
        <w:rPr>
          <w:sz w:val="28"/>
          <w:szCs w:val="28"/>
          <w:lang w:val="uk-UA"/>
        </w:rPr>
      </w:pPr>
      <w:r w:rsidRPr="00173152">
        <w:rPr>
          <w:sz w:val="28"/>
          <w:szCs w:val="28"/>
          <w:lang w:val="uk-UA"/>
        </w:rPr>
        <w:t>2.1. КНП НМР «Центр ПМСД» надає платні послуги на засадах, визначених пунктом 1.7 статуту КНП НМР «Центр ПМСД», провадить цю діяльність як господарську некомерційну, спрямовану на досягнення соціальних цілей, без мети одержання прибутку. Соціальні цілі полягають у реалізації права на охорону здоров’я згідно зі статтею 6 Закону України «Основи законодавства України про охорону здоров’я».</w:t>
      </w:r>
    </w:p>
    <w:p w:rsidR="0082339D" w:rsidRPr="00173152" w:rsidRDefault="0082339D" w:rsidP="00812569">
      <w:pPr>
        <w:ind w:firstLine="567"/>
        <w:jc w:val="both"/>
        <w:rPr>
          <w:sz w:val="28"/>
          <w:szCs w:val="28"/>
          <w:lang w:val="uk-UA"/>
        </w:rPr>
      </w:pPr>
      <w:r w:rsidRPr="00173152">
        <w:rPr>
          <w:sz w:val="28"/>
          <w:szCs w:val="28"/>
          <w:lang w:val="uk-UA"/>
        </w:rPr>
        <w:t>2.2. Перелік платних послуг, що надає КНП НМР «Центр ПМСД», містяться у додатку 2 до рішення виконавчого комітету Нетішинської міської ради.</w:t>
      </w:r>
    </w:p>
    <w:p w:rsidR="00812569" w:rsidRPr="00173152" w:rsidRDefault="00812569" w:rsidP="00812569">
      <w:pPr>
        <w:jc w:val="center"/>
        <w:rPr>
          <w:sz w:val="28"/>
          <w:szCs w:val="28"/>
          <w:lang w:val="uk-UA"/>
        </w:rPr>
      </w:pPr>
      <w:r w:rsidRPr="00173152">
        <w:rPr>
          <w:sz w:val="28"/>
          <w:szCs w:val="28"/>
          <w:lang w:val="uk-UA"/>
        </w:rPr>
        <w:lastRenderedPageBreak/>
        <w:t>2</w:t>
      </w:r>
    </w:p>
    <w:p w:rsidR="00812569" w:rsidRPr="00173152" w:rsidRDefault="00812569" w:rsidP="00812569">
      <w:pPr>
        <w:jc w:val="center"/>
        <w:rPr>
          <w:sz w:val="28"/>
          <w:szCs w:val="28"/>
          <w:lang w:val="uk-UA"/>
        </w:rPr>
      </w:pPr>
    </w:p>
    <w:p w:rsidR="0082339D" w:rsidRPr="00173152" w:rsidRDefault="0082339D" w:rsidP="00812569">
      <w:pPr>
        <w:ind w:firstLine="567"/>
        <w:jc w:val="both"/>
        <w:rPr>
          <w:sz w:val="28"/>
          <w:szCs w:val="28"/>
          <w:lang w:val="uk-UA"/>
        </w:rPr>
      </w:pPr>
      <w:r w:rsidRPr="00173152">
        <w:rPr>
          <w:sz w:val="28"/>
          <w:szCs w:val="28"/>
          <w:shd w:val="clear" w:color="auto" w:fill="FFFFFF"/>
          <w:lang w:val="uk-UA"/>
        </w:rPr>
        <w:t>2.3. Платні послуги, які надаються у</w:t>
      </w:r>
      <w:r w:rsidRPr="00173152">
        <w:rPr>
          <w:sz w:val="28"/>
          <w:szCs w:val="28"/>
          <w:lang w:val="uk-UA"/>
        </w:rPr>
        <w:t xml:space="preserve"> КНП НМР «Центр ПМСД»</w:t>
      </w:r>
      <w:r w:rsidRPr="00173152">
        <w:rPr>
          <w:sz w:val="28"/>
          <w:szCs w:val="28"/>
          <w:shd w:val="clear" w:color="auto" w:fill="FFFFFF"/>
          <w:lang w:val="uk-UA"/>
        </w:rPr>
        <w:t xml:space="preserve">, регламентовані </w:t>
      </w:r>
      <w:r w:rsidRPr="00173152">
        <w:rPr>
          <w:sz w:val="28"/>
          <w:szCs w:val="28"/>
          <w:lang w:val="uk-UA"/>
        </w:rPr>
        <w:t xml:space="preserve">Постановою Кабінету Міністрів України від 17 вересня </w:t>
      </w:r>
      <w:r w:rsidR="00173152">
        <w:rPr>
          <w:sz w:val="28"/>
          <w:szCs w:val="28"/>
          <w:lang w:val="uk-UA"/>
        </w:rPr>
        <w:t xml:space="preserve">                       </w:t>
      </w:r>
      <w:r w:rsidRPr="00173152">
        <w:rPr>
          <w:sz w:val="28"/>
          <w:szCs w:val="28"/>
          <w:lang w:val="uk-UA"/>
        </w:rPr>
        <w:t>1996 року №</w:t>
      </w:r>
      <w:r w:rsidR="00812569" w:rsidRPr="00173152">
        <w:rPr>
          <w:sz w:val="28"/>
          <w:szCs w:val="28"/>
          <w:lang w:val="uk-UA"/>
        </w:rPr>
        <w:t xml:space="preserve"> </w:t>
      </w:r>
      <w:r w:rsidRPr="00173152">
        <w:rPr>
          <w:sz w:val="28"/>
          <w:szCs w:val="28"/>
          <w:lang w:val="uk-UA"/>
        </w:rPr>
        <w:t>1138 «Про затвердження платних послуг, які надаються в державних і комунальних закладах охорони здоров</w:t>
      </w:r>
      <w:r w:rsidRPr="00173152">
        <w:rPr>
          <w:b/>
          <w:bCs/>
          <w:sz w:val="28"/>
          <w:szCs w:val="28"/>
          <w:lang w:val="uk-UA"/>
        </w:rPr>
        <w:t>’</w:t>
      </w:r>
      <w:r w:rsidRPr="00173152">
        <w:rPr>
          <w:sz w:val="28"/>
          <w:szCs w:val="28"/>
          <w:lang w:val="uk-UA"/>
        </w:rPr>
        <w:t>я та вищих медичних навчальних закладах».</w:t>
      </w:r>
      <w:bookmarkStart w:id="0" w:name="n3"/>
      <w:bookmarkStart w:id="1" w:name="n4"/>
      <w:bookmarkEnd w:id="0"/>
      <w:bookmarkEnd w:id="1"/>
    </w:p>
    <w:p w:rsidR="00017688" w:rsidRPr="00173152" w:rsidRDefault="00017688" w:rsidP="00812569">
      <w:pPr>
        <w:ind w:firstLine="567"/>
        <w:jc w:val="both"/>
        <w:rPr>
          <w:sz w:val="28"/>
          <w:szCs w:val="28"/>
          <w:lang w:val="uk-UA"/>
        </w:rPr>
      </w:pPr>
      <w:r w:rsidRPr="00173152">
        <w:rPr>
          <w:sz w:val="28"/>
          <w:szCs w:val="28"/>
          <w:lang w:val="uk-UA"/>
        </w:rPr>
        <w:t>2.4. Платні послуги надаються:</w:t>
      </w:r>
    </w:p>
    <w:p w:rsidR="00173152" w:rsidRPr="00173152" w:rsidRDefault="00017688" w:rsidP="00173152">
      <w:pPr>
        <w:ind w:firstLine="567"/>
        <w:jc w:val="both"/>
        <w:rPr>
          <w:sz w:val="28"/>
          <w:szCs w:val="28"/>
          <w:lang w:val="uk-UA"/>
        </w:rPr>
      </w:pPr>
      <w:r w:rsidRPr="00173152">
        <w:rPr>
          <w:sz w:val="28"/>
          <w:szCs w:val="28"/>
          <w:lang w:val="uk-UA"/>
        </w:rPr>
        <w:t>- особам, що бажають отримати послуги відповідно до</w:t>
      </w:r>
      <w:r w:rsidR="00173152" w:rsidRPr="00173152">
        <w:rPr>
          <w:sz w:val="28"/>
          <w:szCs w:val="28"/>
          <w:lang w:val="uk-UA"/>
        </w:rPr>
        <w:t xml:space="preserve"> переліку </w:t>
      </w:r>
      <w:r w:rsidR="00173152" w:rsidRPr="00173152">
        <w:rPr>
          <w:bCs/>
          <w:sz w:val="28"/>
          <w:szCs w:val="28"/>
          <w:lang w:val="uk-UA"/>
        </w:rPr>
        <w:t xml:space="preserve">платних послуг у </w:t>
      </w:r>
      <w:r w:rsidR="00173152" w:rsidRPr="00173152">
        <w:rPr>
          <w:sz w:val="28"/>
          <w:szCs w:val="28"/>
          <w:lang w:val="uk-UA"/>
        </w:rPr>
        <w:t>комунальному некомерційному підприємстві Нетішинської міської ради «Центр первинної медико-санітарної допомоги» (</w:t>
      </w:r>
      <w:r w:rsidRPr="00173152">
        <w:rPr>
          <w:sz w:val="28"/>
          <w:szCs w:val="28"/>
          <w:lang w:val="uk-UA"/>
        </w:rPr>
        <w:t>додат</w:t>
      </w:r>
      <w:r w:rsidR="00173152" w:rsidRPr="00173152">
        <w:rPr>
          <w:sz w:val="28"/>
          <w:szCs w:val="28"/>
          <w:lang w:val="uk-UA"/>
        </w:rPr>
        <w:t>о</w:t>
      </w:r>
      <w:r w:rsidRPr="00173152">
        <w:rPr>
          <w:sz w:val="28"/>
          <w:szCs w:val="28"/>
          <w:lang w:val="uk-UA"/>
        </w:rPr>
        <w:t xml:space="preserve">к 2 до </w:t>
      </w:r>
      <w:r w:rsidR="009C6759">
        <w:rPr>
          <w:sz w:val="28"/>
          <w:szCs w:val="28"/>
          <w:lang w:val="uk-UA"/>
        </w:rPr>
        <w:t xml:space="preserve">цього </w:t>
      </w:r>
      <w:r w:rsidRPr="00173152">
        <w:rPr>
          <w:sz w:val="28"/>
          <w:szCs w:val="28"/>
          <w:lang w:val="uk-UA"/>
        </w:rPr>
        <w:t>рішення</w:t>
      </w:r>
      <w:r w:rsidR="00173152" w:rsidRPr="00173152">
        <w:rPr>
          <w:sz w:val="28"/>
          <w:szCs w:val="28"/>
          <w:lang w:val="uk-UA"/>
        </w:rPr>
        <w:t>), за власним бажанням</w:t>
      </w:r>
      <w:r w:rsidR="00173152" w:rsidRPr="00173152">
        <w:rPr>
          <w:sz w:val="28"/>
          <w:szCs w:val="28"/>
        </w:rPr>
        <w:t xml:space="preserve"> </w:t>
      </w:r>
      <w:r w:rsidR="00173152" w:rsidRPr="00173152">
        <w:rPr>
          <w:sz w:val="28"/>
          <w:szCs w:val="28"/>
          <w:lang w:val="uk-UA"/>
        </w:rPr>
        <w:t>без відповідних медичних показів, або отримати медичні послуги поза переліком послуг Програми медичних гарантій;</w:t>
      </w:r>
    </w:p>
    <w:p w:rsidR="00173152" w:rsidRPr="00173152" w:rsidRDefault="00173152" w:rsidP="00812569">
      <w:pPr>
        <w:ind w:firstLine="567"/>
        <w:jc w:val="both"/>
        <w:rPr>
          <w:sz w:val="28"/>
          <w:szCs w:val="28"/>
          <w:lang w:val="uk-UA"/>
        </w:rPr>
      </w:pPr>
      <w:r w:rsidRPr="00173152">
        <w:rPr>
          <w:sz w:val="28"/>
          <w:szCs w:val="28"/>
          <w:lang w:val="uk-UA"/>
        </w:rPr>
        <w:t xml:space="preserve">- громадянам України та іноземцям. які бажають здійснити щеплення поза календарем профілактичних щеплень (окрім вакцинації від гострого респіраторного захворювання </w:t>
      </w:r>
      <w:r w:rsidRPr="00173152">
        <w:rPr>
          <w:sz w:val="28"/>
          <w:szCs w:val="28"/>
          <w:lang w:val="en-US"/>
        </w:rPr>
        <w:t>COVID</w:t>
      </w:r>
      <w:r w:rsidRPr="00173152">
        <w:rPr>
          <w:sz w:val="28"/>
          <w:szCs w:val="28"/>
          <w:lang w:val="uk-UA"/>
        </w:rPr>
        <w:t xml:space="preserve">-19, спричиненого коронавірусом </w:t>
      </w:r>
      <w:r>
        <w:rPr>
          <w:sz w:val="28"/>
          <w:szCs w:val="28"/>
          <w:lang w:val="uk-UA"/>
        </w:rPr>
        <w:t xml:space="preserve">                </w:t>
      </w:r>
      <w:r w:rsidRPr="00173152">
        <w:rPr>
          <w:sz w:val="28"/>
          <w:szCs w:val="28"/>
          <w:lang w:val="en-US"/>
        </w:rPr>
        <w:t>SARS</w:t>
      </w:r>
      <w:r w:rsidRPr="00173152">
        <w:rPr>
          <w:sz w:val="28"/>
          <w:szCs w:val="28"/>
          <w:lang w:val="uk-UA"/>
        </w:rPr>
        <w:t>-</w:t>
      </w:r>
      <w:r w:rsidRPr="00173152">
        <w:rPr>
          <w:sz w:val="28"/>
          <w:szCs w:val="28"/>
          <w:lang w:val="en-US"/>
        </w:rPr>
        <w:t>COV</w:t>
      </w:r>
      <w:r w:rsidRPr="00173152">
        <w:rPr>
          <w:sz w:val="28"/>
          <w:szCs w:val="28"/>
          <w:lang w:val="uk-UA"/>
        </w:rPr>
        <w:t>-2);</w:t>
      </w:r>
    </w:p>
    <w:p w:rsidR="00173152" w:rsidRPr="00173152" w:rsidRDefault="00173152" w:rsidP="00812569">
      <w:pPr>
        <w:ind w:firstLine="567"/>
        <w:jc w:val="both"/>
        <w:rPr>
          <w:sz w:val="28"/>
          <w:szCs w:val="28"/>
          <w:lang w:val="uk-UA"/>
        </w:rPr>
      </w:pPr>
      <w:r w:rsidRPr="00173152">
        <w:rPr>
          <w:sz w:val="28"/>
          <w:szCs w:val="28"/>
          <w:lang w:val="uk-UA"/>
        </w:rPr>
        <w:t xml:space="preserve">- іноземцям, які бажають отримати консультативні послуги або огляд лікаря перед вакцинацією від гострого респіраторного захворювання </w:t>
      </w:r>
      <w:r w:rsidRPr="00173152">
        <w:rPr>
          <w:sz w:val="28"/>
          <w:szCs w:val="28"/>
          <w:lang w:val="en-US"/>
        </w:rPr>
        <w:t>COVID</w:t>
      </w:r>
      <w:r w:rsidRPr="00173152">
        <w:rPr>
          <w:sz w:val="28"/>
          <w:szCs w:val="28"/>
          <w:lang w:val="uk-UA"/>
        </w:rPr>
        <w:t xml:space="preserve">-19, спричиненого коронавірусом </w:t>
      </w:r>
      <w:r w:rsidRPr="00173152">
        <w:rPr>
          <w:sz w:val="28"/>
          <w:szCs w:val="28"/>
          <w:lang w:val="en-US"/>
        </w:rPr>
        <w:t>SARS</w:t>
      </w:r>
      <w:r w:rsidRPr="00173152">
        <w:rPr>
          <w:sz w:val="28"/>
          <w:szCs w:val="28"/>
          <w:lang w:val="uk-UA"/>
        </w:rPr>
        <w:t>-</w:t>
      </w:r>
      <w:r w:rsidRPr="00173152">
        <w:rPr>
          <w:sz w:val="28"/>
          <w:szCs w:val="28"/>
          <w:lang w:val="en-US"/>
        </w:rPr>
        <w:t>COV</w:t>
      </w:r>
      <w:r w:rsidRPr="00173152">
        <w:rPr>
          <w:sz w:val="28"/>
          <w:szCs w:val="28"/>
          <w:lang w:val="uk-UA"/>
        </w:rPr>
        <w:t>-2;</w:t>
      </w:r>
    </w:p>
    <w:p w:rsidR="00017688" w:rsidRPr="00173152" w:rsidRDefault="00173152" w:rsidP="00812569">
      <w:pPr>
        <w:ind w:firstLine="567"/>
        <w:jc w:val="both"/>
        <w:rPr>
          <w:sz w:val="28"/>
          <w:szCs w:val="28"/>
          <w:lang w:val="uk-UA"/>
        </w:rPr>
      </w:pPr>
      <w:r w:rsidRPr="00173152">
        <w:rPr>
          <w:sz w:val="28"/>
          <w:szCs w:val="28"/>
          <w:lang w:val="uk-UA"/>
        </w:rPr>
        <w:t>- особам, які не мають укладеної декларації з лікарями КНП НМР «Центр ПМСД» та звертаються у станах, що є невідкладними.</w:t>
      </w:r>
    </w:p>
    <w:p w:rsidR="0082339D" w:rsidRPr="00173152" w:rsidRDefault="0082339D" w:rsidP="0082339D">
      <w:pPr>
        <w:shd w:val="clear" w:color="auto" w:fill="FFFFFF"/>
        <w:jc w:val="both"/>
        <w:textAlignment w:val="baseline"/>
        <w:rPr>
          <w:sz w:val="28"/>
          <w:szCs w:val="28"/>
          <w:lang w:val="uk-UA"/>
        </w:rPr>
      </w:pPr>
    </w:p>
    <w:p w:rsidR="0082339D" w:rsidRPr="00173152" w:rsidRDefault="0082339D" w:rsidP="0082339D">
      <w:pPr>
        <w:pStyle w:val="a5"/>
        <w:ind w:left="0" w:firstLine="0"/>
        <w:jc w:val="center"/>
        <w:rPr>
          <w:b/>
          <w:szCs w:val="28"/>
          <w:lang w:val="uk-UA"/>
        </w:rPr>
      </w:pPr>
      <w:r w:rsidRPr="00173152">
        <w:rPr>
          <w:b/>
          <w:szCs w:val="28"/>
          <w:lang w:val="uk-UA"/>
        </w:rPr>
        <w:t>3. Розрахунок собівартості платних послуг</w:t>
      </w:r>
    </w:p>
    <w:p w:rsidR="0082339D" w:rsidRPr="00173152" w:rsidRDefault="0082339D" w:rsidP="00812569">
      <w:pPr>
        <w:ind w:firstLine="567"/>
        <w:jc w:val="both"/>
        <w:rPr>
          <w:sz w:val="28"/>
          <w:szCs w:val="28"/>
          <w:shd w:val="clear" w:color="auto" w:fill="FFFFFF"/>
          <w:lang w:val="uk-UA"/>
        </w:rPr>
      </w:pPr>
      <w:r w:rsidRPr="00173152">
        <w:rPr>
          <w:sz w:val="28"/>
          <w:szCs w:val="28"/>
          <w:lang w:val="uk-UA"/>
        </w:rPr>
        <w:t>3.1. Т</w:t>
      </w:r>
      <w:r w:rsidRPr="00173152">
        <w:rPr>
          <w:sz w:val="28"/>
          <w:szCs w:val="28"/>
          <w:shd w:val="clear" w:color="auto" w:fill="FFFFFF"/>
          <w:lang w:val="uk-UA"/>
        </w:rPr>
        <w:t>арифи на платні послуги, які надаються населенню, розраховані індивідуально з урахуванням економічно обґрунтованих витрат.</w:t>
      </w:r>
    </w:p>
    <w:p w:rsidR="0082339D" w:rsidRPr="00173152" w:rsidRDefault="0082339D" w:rsidP="00812569">
      <w:pPr>
        <w:ind w:firstLine="567"/>
        <w:jc w:val="both"/>
        <w:rPr>
          <w:sz w:val="28"/>
          <w:szCs w:val="28"/>
          <w:shd w:val="clear" w:color="auto" w:fill="FFFFFF"/>
          <w:lang w:val="uk-UA"/>
        </w:rPr>
      </w:pPr>
      <w:r w:rsidRPr="00173152">
        <w:rPr>
          <w:sz w:val="28"/>
          <w:szCs w:val="28"/>
          <w:lang w:val="uk-UA"/>
        </w:rPr>
        <w:t>Розрахунок собівартості платних послуг здійснюється</w:t>
      </w:r>
      <w:r w:rsidRPr="00173152">
        <w:rPr>
          <w:sz w:val="28"/>
          <w:szCs w:val="28"/>
          <w:shd w:val="clear" w:color="auto" w:fill="FFFFFF"/>
          <w:lang w:val="uk-UA"/>
        </w:rPr>
        <w:t xml:space="preserve"> на підставі фактичних затрат на їх надання, тобто собівартості. До складу собівартості входять: прямі витрати, або витрати, безпосередньо пов’язані з наданням конкретної послуги, загальновиробничі та адміністративні витрати, тобто такі, які неможливо зарахувати до конкретної послуги, а лише у вигляді питомої частки.</w:t>
      </w: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3.2. До прямих витрат належать:</w:t>
      </w:r>
    </w:p>
    <w:p w:rsidR="0082339D" w:rsidRPr="00173152" w:rsidRDefault="0082339D" w:rsidP="00812569">
      <w:pPr>
        <w:ind w:firstLine="567"/>
        <w:jc w:val="both"/>
        <w:rPr>
          <w:sz w:val="28"/>
          <w:szCs w:val="28"/>
          <w:lang w:val="uk-UA"/>
        </w:rPr>
      </w:pPr>
      <w:r w:rsidRPr="00173152">
        <w:rPr>
          <w:sz w:val="28"/>
          <w:szCs w:val="28"/>
          <w:shd w:val="clear" w:color="auto" w:fill="FFFFFF"/>
          <w:lang w:val="uk-UA"/>
        </w:rPr>
        <w:t>- оплата праці, де передбачають як основну, так і додаткову заробітну плату, а також інші види заохочень та виплат у розмірах, визначених у колективному договорі. Ці витрати визначають відповідно до штатного розпису підрозділу або конкретного персоналу, що надає платну послугу, норм робочого часу для цього персоналу, а також витрат робочого часу саме на виконання цієї послуги;</w:t>
      </w:r>
    </w:p>
    <w:p w:rsidR="0082339D" w:rsidRPr="00173152" w:rsidRDefault="0082339D" w:rsidP="00812569">
      <w:pPr>
        <w:ind w:firstLine="567"/>
        <w:jc w:val="both"/>
        <w:rPr>
          <w:sz w:val="28"/>
          <w:szCs w:val="28"/>
          <w:lang w:val="uk-UA"/>
        </w:rPr>
      </w:pPr>
      <w:r w:rsidRPr="00173152">
        <w:rPr>
          <w:sz w:val="28"/>
          <w:szCs w:val="28"/>
          <w:shd w:val="clear" w:color="auto" w:fill="FFFFFF"/>
          <w:lang w:val="uk-UA"/>
        </w:rPr>
        <w:t>- витрати на матеріали, а саме: витрати на медичні засоби, перев’язувальні матеріа</w:t>
      </w:r>
      <w:r w:rsidR="002240E3" w:rsidRPr="00173152">
        <w:rPr>
          <w:sz w:val="28"/>
          <w:szCs w:val="28"/>
          <w:shd w:val="clear" w:color="auto" w:fill="FFFFFF"/>
          <w:lang w:val="uk-UA"/>
        </w:rPr>
        <w:t>-</w:t>
      </w:r>
      <w:r w:rsidRPr="00173152">
        <w:rPr>
          <w:sz w:val="28"/>
          <w:szCs w:val="28"/>
          <w:shd w:val="clear" w:color="auto" w:fill="FFFFFF"/>
          <w:lang w:val="uk-UA"/>
        </w:rPr>
        <w:t>ли, лабораторні реактиви, дезінфікувальні засоби, бланки, медичний інструментарій, розхідні засоби та інші, які витрачають саме під час надання послуги та які можна розрахувати у кількісному вираженні та зарахувати до конкретної медичної послуги;</w:t>
      </w:r>
    </w:p>
    <w:p w:rsidR="0082339D" w:rsidRPr="00173152" w:rsidRDefault="0082339D" w:rsidP="00812569">
      <w:pPr>
        <w:ind w:firstLine="567"/>
        <w:jc w:val="both"/>
        <w:rPr>
          <w:sz w:val="28"/>
          <w:szCs w:val="28"/>
          <w:lang w:val="uk-UA"/>
        </w:rPr>
      </w:pPr>
      <w:r w:rsidRPr="00173152">
        <w:rPr>
          <w:sz w:val="28"/>
          <w:szCs w:val="28"/>
          <w:shd w:val="clear" w:color="auto" w:fill="FFFFFF"/>
          <w:lang w:val="uk-UA"/>
        </w:rPr>
        <w:t>- витрати на обладнання;</w:t>
      </w:r>
    </w:p>
    <w:p w:rsidR="0082339D" w:rsidRDefault="0082339D" w:rsidP="00812569">
      <w:pPr>
        <w:ind w:firstLine="567"/>
        <w:jc w:val="both"/>
        <w:rPr>
          <w:sz w:val="28"/>
          <w:szCs w:val="28"/>
          <w:shd w:val="clear" w:color="auto" w:fill="FFFFFF"/>
          <w:lang w:val="uk-UA"/>
        </w:rPr>
      </w:pPr>
      <w:r w:rsidRPr="00173152">
        <w:rPr>
          <w:sz w:val="28"/>
          <w:szCs w:val="28"/>
          <w:shd w:val="clear" w:color="auto" w:fill="FFFFFF"/>
          <w:lang w:val="uk-UA"/>
        </w:rPr>
        <w:t>- витрати на електроенергію та амортизаційні відрахування.</w:t>
      </w:r>
    </w:p>
    <w:p w:rsidR="00173152" w:rsidRDefault="00173152" w:rsidP="00173152">
      <w:pPr>
        <w:jc w:val="center"/>
        <w:rPr>
          <w:sz w:val="28"/>
          <w:szCs w:val="28"/>
          <w:shd w:val="clear" w:color="auto" w:fill="FFFFFF"/>
          <w:lang w:val="uk-UA"/>
        </w:rPr>
      </w:pPr>
      <w:r>
        <w:rPr>
          <w:sz w:val="28"/>
          <w:szCs w:val="28"/>
          <w:shd w:val="clear" w:color="auto" w:fill="FFFFFF"/>
          <w:lang w:val="uk-UA"/>
        </w:rPr>
        <w:lastRenderedPageBreak/>
        <w:t>3</w:t>
      </w:r>
    </w:p>
    <w:p w:rsidR="00173152" w:rsidRPr="00173152" w:rsidRDefault="00173152" w:rsidP="00173152">
      <w:pPr>
        <w:jc w:val="center"/>
        <w:rPr>
          <w:sz w:val="28"/>
          <w:szCs w:val="28"/>
          <w:shd w:val="clear" w:color="auto" w:fill="FFFFFF"/>
          <w:lang w:val="uk-UA"/>
        </w:rPr>
      </w:pP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3.3. Загальновиробничі та адміністративні витрати (або накладні витрати) розраховуються за звітний період та розподіляються пропорційно прямим витратам на оплату праці через коефіцієнт. Також можна врахувати зазначені витрати відповідно до планових показників.</w:t>
      </w:r>
    </w:p>
    <w:p w:rsidR="0082339D" w:rsidRPr="00173152" w:rsidRDefault="0082339D" w:rsidP="00812569">
      <w:pPr>
        <w:ind w:firstLine="567"/>
        <w:jc w:val="both"/>
        <w:rPr>
          <w:sz w:val="28"/>
          <w:szCs w:val="28"/>
          <w:lang w:val="uk-UA"/>
        </w:rPr>
      </w:pPr>
      <w:r w:rsidRPr="00173152">
        <w:rPr>
          <w:sz w:val="28"/>
          <w:szCs w:val="28"/>
          <w:shd w:val="clear" w:color="auto" w:fill="FFFFFF"/>
          <w:lang w:val="uk-UA"/>
        </w:rPr>
        <w:t>До загальновиробничих витрат належать: видатки на відрядження видатки на утримання, ремонт, оренду основних засобів транспортні витрати комунальні та інші витрати, що належать до підрозділу з надання платних послуг.</w:t>
      </w: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Адміністративні витрати передбачають видатки на утримання адміністративно-господарського персоналу, зокрема: заробітна плата, видатки на відрядження, юридичні послуги, витрати на пал</w:t>
      </w:r>
      <w:r w:rsidR="00812569" w:rsidRPr="00173152">
        <w:rPr>
          <w:sz w:val="28"/>
          <w:szCs w:val="28"/>
          <w:shd w:val="clear" w:color="auto" w:fill="FFFFFF"/>
          <w:lang w:val="uk-UA"/>
        </w:rPr>
        <w:t>ь</w:t>
      </w:r>
      <w:r w:rsidRPr="00173152">
        <w:rPr>
          <w:sz w:val="28"/>
          <w:szCs w:val="28"/>
          <w:shd w:val="clear" w:color="auto" w:fill="FFFFFF"/>
          <w:lang w:val="uk-UA"/>
        </w:rPr>
        <w:t>но-мастильні матеріали, послуги зв’язку, розрахунково-касове обслуговування придбання та супровід програмного забезпечення, послуги охорони тощо.</w:t>
      </w:r>
    </w:p>
    <w:p w:rsidR="0082339D" w:rsidRPr="00173152" w:rsidRDefault="0082339D" w:rsidP="00812569">
      <w:pPr>
        <w:ind w:firstLine="567"/>
        <w:jc w:val="both"/>
        <w:rPr>
          <w:sz w:val="28"/>
          <w:szCs w:val="28"/>
          <w:shd w:val="clear" w:color="auto" w:fill="FFFFFF"/>
          <w:lang w:val="uk-UA"/>
        </w:rPr>
      </w:pPr>
      <w:r w:rsidRPr="00173152">
        <w:rPr>
          <w:sz w:val="28"/>
          <w:szCs w:val="28"/>
          <w:shd w:val="clear" w:color="auto" w:fill="FFFFFF"/>
          <w:lang w:val="uk-UA"/>
        </w:rPr>
        <w:t xml:space="preserve">3.4. Вартість медичної послуги складається із собівартості, визначеної на підставі економічно </w:t>
      </w:r>
      <w:r w:rsidR="00812569" w:rsidRPr="00173152">
        <w:rPr>
          <w:sz w:val="28"/>
          <w:szCs w:val="28"/>
          <w:shd w:val="clear" w:color="auto" w:fill="FFFFFF"/>
          <w:lang w:val="uk-UA"/>
        </w:rPr>
        <w:t>обґрунтованих</w:t>
      </w:r>
      <w:r w:rsidRPr="00173152">
        <w:rPr>
          <w:sz w:val="28"/>
          <w:szCs w:val="28"/>
          <w:shd w:val="clear" w:color="auto" w:fill="FFFFFF"/>
          <w:lang w:val="uk-UA"/>
        </w:rPr>
        <w:t xml:space="preserve"> витрат на одиницю калькулювання, та витрат на розвиток закладу в межах граничного рівня рентабельності, встановленого органами виконавчої влади – 15% від собівартості медичної послуги.</w:t>
      </w:r>
    </w:p>
    <w:p w:rsidR="002240E3" w:rsidRPr="00173152" w:rsidRDefault="002240E3" w:rsidP="00173152">
      <w:pPr>
        <w:ind w:firstLine="567"/>
        <w:jc w:val="both"/>
        <w:rPr>
          <w:sz w:val="28"/>
          <w:szCs w:val="28"/>
          <w:shd w:val="clear" w:color="auto" w:fill="FFFFFF"/>
          <w:lang w:val="uk-UA"/>
        </w:rPr>
      </w:pPr>
      <w:r w:rsidRPr="00173152">
        <w:rPr>
          <w:sz w:val="28"/>
          <w:szCs w:val="28"/>
          <w:shd w:val="clear" w:color="auto" w:fill="FFFFFF"/>
          <w:lang w:val="uk-UA"/>
        </w:rPr>
        <w:t>Ок</w:t>
      </w:r>
      <w:r w:rsidR="0082339D" w:rsidRPr="00173152">
        <w:rPr>
          <w:sz w:val="28"/>
          <w:szCs w:val="28"/>
          <w:shd w:val="clear" w:color="auto" w:fill="FFFFFF"/>
          <w:lang w:val="uk-UA"/>
        </w:rPr>
        <w:t>рім того, тариф на платну послугу передбачає податок на додану вартість за визначеною ставкою оподаткування.</w:t>
      </w:r>
    </w:p>
    <w:p w:rsidR="0082339D" w:rsidRPr="00173152" w:rsidRDefault="0082339D" w:rsidP="00812569">
      <w:pPr>
        <w:pStyle w:val="a5"/>
        <w:ind w:left="0" w:firstLine="567"/>
        <w:jc w:val="both"/>
        <w:rPr>
          <w:szCs w:val="28"/>
          <w:lang w:val="uk-UA"/>
        </w:rPr>
      </w:pPr>
      <w:r w:rsidRPr="00173152">
        <w:rPr>
          <w:szCs w:val="28"/>
          <w:lang w:val="uk-UA"/>
        </w:rPr>
        <w:t xml:space="preserve">3.5. Калькуляції, розрахунки собівартості платних медичних послуг містяться у додатку 3 до </w:t>
      </w:r>
      <w:r w:rsidR="009C6759">
        <w:rPr>
          <w:szCs w:val="28"/>
          <w:lang w:val="uk-UA"/>
        </w:rPr>
        <w:t xml:space="preserve">цього </w:t>
      </w:r>
      <w:r w:rsidRPr="00173152">
        <w:rPr>
          <w:szCs w:val="28"/>
          <w:lang w:val="uk-UA"/>
        </w:rPr>
        <w:t>рішення</w:t>
      </w:r>
      <w:r w:rsidR="009C6759">
        <w:rPr>
          <w:szCs w:val="28"/>
          <w:lang w:val="uk-UA"/>
        </w:rPr>
        <w:t>.</w:t>
      </w:r>
    </w:p>
    <w:p w:rsidR="0082339D" w:rsidRPr="00173152" w:rsidRDefault="0082339D" w:rsidP="0082339D">
      <w:pPr>
        <w:pStyle w:val="a5"/>
        <w:ind w:left="0" w:firstLine="0"/>
        <w:jc w:val="both"/>
        <w:rPr>
          <w:szCs w:val="28"/>
          <w:lang w:val="uk-UA"/>
        </w:rPr>
      </w:pPr>
    </w:p>
    <w:p w:rsidR="0082339D" w:rsidRPr="00173152" w:rsidRDefault="0082339D" w:rsidP="0082339D">
      <w:pPr>
        <w:jc w:val="center"/>
        <w:rPr>
          <w:b/>
          <w:sz w:val="28"/>
          <w:szCs w:val="28"/>
          <w:lang w:val="uk-UA"/>
        </w:rPr>
      </w:pPr>
      <w:r w:rsidRPr="00173152">
        <w:rPr>
          <w:b/>
          <w:sz w:val="28"/>
          <w:szCs w:val="28"/>
          <w:lang w:val="uk-UA"/>
        </w:rPr>
        <w:t>4. Оплата послуг</w:t>
      </w:r>
    </w:p>
    <w:p w:rsidR="0082339D" w:rsidRPr="00173152" w:rsidRDefault="0082339D" w:rsidP="00812569">
      <w:pPr>
        <w:ind w:firstLine="567"/>
        <w:jc w:val="both"/>
        <w:rPr>
          <w:sz w:val="28"/>
          <w:szCs w:val="28"/>
          <w:lang w:val="uk-UA"/>
        </w:rPr>
      </w:pPr>
      <w:r w:rsidRPr="00173152">
        <w:rPr>
          <w:sz w:val="28"/>
          <w:szCs w:val="28"/>
          <w:lang w:val="uk-UA"/>
        </w:rPr>
        <w:t>4.1. КНП НМР «Центр ПМСД» приймає оплату за платні послуги від фізичних і юридичних ос</w:t>
      </w:r>
      <w:r w:rsidR="00812569" w:rsidRPr="00173152">
        <w:rPr>
          <w:sz w:val="28"/>
          <w:szCs w:val="28"/>
          <w:lang w:val="uk-UA"/>
        </w:rPr>
        <w:t>іб, у т. ч. страхових компаній.</w:t>
      </w:r>
    </w:p>
    <w:p w:rsidR="0082339D" w:rsidRPr="00173152" w:rsidRDefault="0082339D" w:rsidP="00812569">
      <w:pPr>
        <w:ind w:firstLine="567"/>
        <w:jc w:val="both"/>
        <w:rPr>
          <w:sz w:val="28"/>
          <w:szCs w:val="28"/>
          <w:lang w:val="uk-UA"/>
        </w:rPr>
      </w:pPr>
      <w:r w:rsidRPr="00173152">
        <w:rPr>
          <w:sz w:val="28"/>
          <w:szCs w:val="28"/>
          <w:lang w:val="uk-UA"/>
        </w:rPr>
        <w:t>4.2. Фізичні особи розраховуються у безготівковій формі, юридичні</w:t>
      </w:r>
      <w:r w:rsidR="009C6759">
        <w:rPr>
          <w:sz w:val="28"/>
          <w:szCs w:val="28"/>
          <w:lang w:val="uk-UA"/>
        </w:rPr>
        <w:t xml:space="preserve"> – </w:t>
      </w:r>
      <w:r w:rsidRPr="00173152">
        <w:rPr>
          <w:sz w:val="28"/>
          <w:szCs w:val="28"/>
          <w:lang w:val="uk-UA"/>
        </w:rPr>
        <w:t xml:space="preserve">тільки у безготівковій. Розрахунки з фізичними особами в банках та терміналах здійснюються з дотриманням вимог 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 </w:t>
      </w:r>
    </w:p>
    <w:p w:rsidR="0082339D" w:rsidRPr="00173152" w:rsidRDefault="0082339D" w:rsidP="00812569">
      <w:pPr>
        <w:ind w:firstLine="567"/>
        <w:jc w:val="both"/>
        <w:rPr>
          <w:sz w:val="28"/>
          <w:szCs w:val="28"/>
          <w:lang w:val="uk-UA"/>
        </w:rPr>
      </w:pPr>
      <w:r w:rsidRPr="00173152">
        <w:rPr>
          <w:sz w:val="28"/>
          <w:szCs w:val="28"/>
          <w:lang w:val="uk-UA"/>
        </w:rPr>
        <w:t xml:space="preserve">4.3. Оплата здійснюється перед наданням платної медичної послуги. </w:t>
      </w:r>
    </w:p>
    <w:p w:rsidR="0082339D" w:rsidRPr="00173152" w:rsidRDefault="0082339D" w:rsidP="00812569">
      <w:pPr>
        <w:ind w:firstLine="567"/>
        <w:jc w:val="both"/>
        <w:rPr>
          <w:sz w:val="28"/>
          <w:szCs w:val="28"/>
          <w:lang w:val="uk-UA"/>
        </w:rPr>
      </w:pPr>
      <w:r w:rsidRPr="00173152">
        <w:rPr>
          <w:sz w:val="28"/>
          <w:szCs w:val="28"/>
          <w:lang w:val="uk-UA"/>
        </w:rPr>
        <w:t>4.4. Відповідальні особи надають платні медичні послуги тільки після пред’явлення отримувачем документа про оплату - кв</w:t>
      </w:r>
      <w:r w:rsidR="00812569" w:rsidRPr="00173152">
        <w:rPr>
          <w:sz w:val="28"/>
          <w:szCs w:val="28"/>
          <w:lang w:val="uk-UA"/>
        </w:rPr>
        <w:t>итанції, банківської квитанції.</w:t>
      </w:r>
    </w:p>
    <w:p w:rsidR="0082339D" w:rsidRPr="00173152" w:rsidRDefault="0082339D" w:rsidP="0082339D">
      <w:pPr>
        <w:rPr>
          <w:b/>
          <w:sz w:val="28"/>
          <w:szCs w:val="28"/>
          <w:lang w:val="uk-UA"/>
        </w:rPr>
      </w:pPr>
    </w:p>
    <w:p w:rsidR="0082339D" w:rsidRPr="00173152" w:rsidRDefault="0082339D" w:rsidP="0082339D">
      <w:pPr>
        <w:jc w:val="center"/>
        <w:rPr>
          <w:b/>
          <w:sz w:val="28"/>
          <w:szCs w:val="28"/>
          <w:lang w:val="uk-UA"/>
        </w:rPr>
      </w:pPr>
      <w:r w:rsidRPr="00173152">
        <w:rPr>
          <w:b/>
          <w:sz w:val="28"/>
          <w:szCs w:val="28"/>
          <w:lang w:val="uk-UA"/>
        </w:rPr>
        <w:t>5. Розподіл та використання грошових надходжень</w:t>
      </w:r>
    </w:p>
    <w:p w:rsidR="0082339D" w:rsidRDefault="0082339D" w:rsidP="00812569">
      <w:pPr>
        <w:ind w:firstLine="567"/>
        <w:jc w:val="both"/>
        <w:rPr>
          <w:sz w:val="28"/>
          <w:szCs w:val="28"/>
          <w:lang w:val="uk-UA"/>
        </w:rPr>
      </w:pPr>
      <w:r w:rsidRPr="00173152">
        <w:rPr>
          <w:sz w:val="28"/>
          <w:szCs w:val="28"/>
          <w:lang w:val="uk-UA"/>
        </w:rPr>
        <w:t xml:space="preserve">5.1. Кошти, отримані від надання платних медичних послуг, </w:t>
      </w:r>
      <w:r w:rsidR="009C6759">
        <w:rPr>
          <w:sz w:val="28"/>
          <w:szCs w:val="28"/>
          <w:lang w:val="uk-UA"/>
        </w:rPr>
        <w:t xml:space="preserve">                             </w:t>
      </w:r>
      <w:r w:rsidRPr="00173152">
        <w:rPr>
          <w:sz w:val="28"/>
          <w:szCs w:val="28"/>
          <w:lang w:val="uk-UA"/>
        </w:rPr>
        <w:t xml:space="preserve">КНП НМР «Центр ПМСД» використовує винятково у межах статутної діяльності, з дотриманням пунктів 1.7, 1.8 та 1.9 статуту, що забороняють прямий розподіл прибутку між засновниками та працівниками. Натомість ці кошти підприємство спрямовує на фінансування видатків та досягнення соціальної мети діяльності. </w:t>
      </w:r>
    </w:p>
    <w:p w:rsidR="009C6759" w:rsidRDefault="009C6759" w:rsidP="009C6759">
      <w:pPr>
        <w:jc w:val="both"/>
        <w:rPr>
          <w:sz w:val="28"/>
          <w:szCs w:val="28"/>
          <w:lang w:val="uk-UA"/>
        </w:rPr>
      </w:pPr>
    </w:p>
    <w:p w:rsidR="009C6759" w:rsidRDefault="009C6759" w:rsidP="009C6759">
      <w:pPr>
        <w:jc w:val="center"/>
        <w:rPr>
          <w:sz w:val="28"/>
          <w:szCs w:val="28"/>
          <w:lang w:val="uk-UA"/>
        </w:rPr>
      </w:pPr>
    </w:p>
    <w:p w:rsidR="009C6759" w:rsidRDefault="009C6759" w:rsidP="009C6759">
      <w:pPr>
        <w:jc w:val="center"/>
        <w:rPr>
          <w:sz w:val="28"/>
          <w:szCs w:val="28"/>
          <w:lang w:val="uk-UA"/>
        </w:rPr>
      </w:pPr>
      <w:r>
        <w:rPr>
          <w:sz w:val="28"/>
          <w:szCs w:val="28"/>
          <w:lang w:val="uk-UA"/>
        </w:rPr>
        <w:lastRenderedPageBreak/>
        <w:t>4</w:t>
      </w:r>
    </w:p>
    <w:p w:rsidR="009C6759" w:rsidRPr="00173152" w:rsidRDefault="009C6759" w:rsidP="009C6759">
      <w:pPr>
        <w:jc w:val="both"/>
        <w:rPr>
          <w:sz w:val="28"/>
          <w:szCs w:val="28"/>
          <w:lang w:val="uk-UA"/>
        </w:rPr>
      </w:pPr>
    </w:p>
    <w:p w:rsidR="0082339D" w:rsidRPr="00173152" w:rsidRDefault="0082339D" w:rsidP="00812569">
      <w:pPr>
        <w:ind w:firstLine="567"/>
        <w:jc w:val="both"/>
        <w:rPr>
          <w:sz w:val="28"/>
          <w:szCs w:val="28"/>
          <w:lang w:val="uk-UA"/>
        </w:rPr>
      </w:pPr>
      <w:r w:rsidRPr="00173152">
        <w:rPr>
          <w:sz w:val="28"/>
          <w:szCs w:val="28"/>
          <w:lang w:val="uk-UA"/>
        </w:rPr>
        <w:t>5.2. Пріоритетні напрями розподілу коштів, отриманих за надання платних медичних послуг:</w:t>
      </w:r>
    </w:p>
    <w:p w:rsidR="0082339D" w:rsidRPr="00173152" w:rsidRDefault="0082339D" w:rsidP="00812569">
      <w:pPr>
        <w:ind w:firstLine="567"/>
        <w:jc w:val="both"/>
        <w:rPr>
          <w:sz w:val="28"/>
          <w:szCs w:val="28"/>
          <w:lang w:val="uk-UA"/>
        </w:rPr>
      </w:pPr>
      <w:r w:rsidRPr="00173152">
        <w:rPr>
          <w:sz w:val="28"/>
          <w:szCs w:val="28"/>
          <w:lang w:val="uk-UA"/>
        </w:rPr>
        <w:t>5.2.1. оплата праці медичних працівників КНП НМР «Центр ПМСД» передусім тих, які забезпечують надання платних медичних послуг; сплата ЄСВ, інших зарплатних податків і зборів, що відповідає пункту 9.7 статуту про використання на зарплатні цілі коштів, отриманих в результаті господарської некомерційної діяльності;</w:t>
      </w:r>
    </w:p>
    <w:p w:rsidR="0082339D" w:rsidRPr="00173152" w:rsidRDefault="0082339D" w:rsidP="00812569">
      <w:pPr>
        <w:ind w:firstLine="567"/>
        <w:jc w:val="both"/>
        <w:rPr>
          <w:sz w:val="28"/>
          <w:szCs w:val="28"/>
          <w:lang w:val="uk-UA"/>
        </w:rPr>
      </w:pPr>
      <w:r w:rsidRPr="00173152">
        <w:rPr>
          <w:sz w:val="28"/>
          <w:szCs w:val="28"/>
          <w:lang w:val="uk-UA"/>
        </w:rPr>
        <w:t>5.2.2. оновлення матеріально-технічної бази КНП НМР «Центр ПМСД».</w:t>
      </w:r>
    </w:p>
    <w:p w:rsidR="0082339D" w:rsidRPr="00173152" w:rsidRDefault="0082339D" w:rsidP="0082339D">
      <w:pPr>
        <w:jc w:val="both"/>
        <w:rPr>
          <w:sz w:val="28"/>
          <w:szCs w:val="28"/>
          <w:lang w:val="uk-UA"/>
        </w:rPr>
      </w:pPr>
    </w:p>
    <w:p w:rsidR="0082339D" w:rsidRPr="00173152" w:rsidRDefault="00812569" w:rsidP="0082339D">
      <w:pPr>
        <w:jc w:val="center"/>
        <w:rPr>
          <w:b/>
          <w:sz w:val="28"/>
          <w:szCs w:val="28"/>
          <w:lang w:val="uk-UA"/>
        </w:rPr>
      </w:pPr>
      <w:r w:rsidRPr="00173152">
        <w:rPr>
          <w:b/>
          <w:sz w:val="28"/>
          <w:szCs w:val="28"/>
          <w:lang w:val="uk-UA"/>
        </w:rPr>
        <w:t>6. </w:t>
      </w:r>
      <w:r w:rsidR="0082339D" w:rsidRPr="00173152">
        <w:rPr>
          <w:b/>
          <w:sz w:val="28"/>
          <w:szCs w:val="28"/>
          <w:lang w:val="uk-UA"/>
        </w:rPr>
        <w:t>Прикінцеві положення</w:t>
      </w:r>
    </w:p>
    <w:p w:rsidR="0082339D" w:rsidRPr="00173152" w:rsidRDefault="0082339D" w:rsidP="002240E3">
      <w:pPr>
        <w:ind w:firstLine="567"/>
        <w:jc w:val="both"/>
        <w:rPr>
          <w:sz w:val="28"/>
          <w:szCs w:val="28"/>
          <w:lang w:val="uk-UA"/>
        </w:rPr>
      </w:pPr>
      <w:r w:rsidRPr="00173152">
        <w:rPr>
          <w:sz w:val="28"/>
          <w:szCs w:val="28"/>
          <w:lang w:val="uk-UA"/>
        </w:rPr>
        <w:t>6.1. Положення набирає чинності від дня затвердження рішенням виконавчого комітету Нетішинської міської ради.</w:t>
      </w:r>
    </w:p>
    <w:p w:rsidR="0082339D" w:rsidRPr="00173152" w:rsidRDefault="0082339D" w:rsidP="002240E3">
      <w:pPr>
        <w:ind w:firstLine="567"/>
        <w:jc w:val="both"/>
        <w:rPr>
          <w:sz w:val="28"/>
          <w:szCs w:val="28"/>
          <w:lang w:val="uk-UA"/>
        </w:rPr>
      </w:pPr>
      <w:r w:rsidRPr="00173152">
        <w:rPr>
          <w:sz w:val="28"/>
          <w:szCs w:val="28"/>
          <w:lang w:val="uk-UA"/>
        </w:rPr>
        <w:t xml:space="preserve">6.2. Зміни до Положення погоджує директор та головний </w:t>
      </w:r>
      <w:r w:rsidR="00812569" w:rsidRPr="00173152">
        <w:rPr>
          <w:sz w:val="28"/>
          <w:szCs w:val="28"/>
          <w:lang w:val="uk-UA"/>
        </w:rPr>
        <w:t>бухгалтер КНП НМР «Центр ПМСД».</w:t>
      </w:r>
    </w:p>
    <w:p w:rsidR="0082339D" w:rsidRPr="00173152" w:rsidRDefault="0082339D" w:rsidP="002240E3">
      <w:pPr>
        <w:ind w:firstLine="567"/>
        <w:jc w:val="both"/>
        <w:rPr>
          <w:sz w:val="28"/>
          <w:szCs w:val="28"/>
          <w:lang w:val="uk-UA"/>
        </w:rPr>
      </w:pPr>
      <w:r w:rsidRPr="00173152">
        <w:rPr>
          <w:sz w:val="28"/>
          <w:szCs w:val="28"/>
          <w:lang w:val="uk-UA"/>
        </w:rPr>
        <w:t>6.3. </w:t>
      </w:r>
      <w:r w:rsidRPr="00173152">
        <w:rPr>
          <w:sz w:val="28"/>
          <w:szCs w:val="28"/>
          <w:shd w:val="clear" w:color="auto" w:fill="FFFFFF"/>
          <w:lang w:val="uk-UA"/>
        </w:rPr>
        <w:t>Розрахунок тарифів на медичні послуги здійснюється щороку з урахуванням фактичних витрат закладу.</w:t>
      </w:r>
    </w:p>
    <w:p w:rsidR="0082339D" w:rsidRPr="00173152" w:rsidRDefault="0082339D" w:rsidP="002240E3">
      <w:pPr>
        <w:rPr>
          <w:sz w:val="28"/>
          <w:szCs w:val="28"/>
          <w:lang w:val="uk-UA"/>
        </w:rPr>
      </w:pPr>
    </w:p>
    <w:p w:rsidR="002240E3" w:rsidRDefault="002240E3" w:rsidP="002240E3">
      <w:pPr>
        <w:rPr>
          <w:sz w:val="28"/>
          <w:szCs w:val="28"/>
          <w:lang w:val="uk-UA"/>
        </w:rPr>
      </w:pPr>
    </w:p>
    <w:p w:rsidR="009C6759" w:rsidRDefault="009C6759" w:rsidP="002240E3">
      <w:pPr>
        <w:rPr>
          <w:sz w:val="28"/>
          <w:szCs w:val="28"/>
          <w:lang w:val="uk-UA"/>
        </w:rPr>
      </w:pPr>
    </w:p>
    <w:p w:rsidR="009C6759" w:rsidRDefault="009C6759" w:rsidP="002240E3">
      <w:pPr>
        <w:rPr>
          <w:sz w:val="28"/>
          <w:szCs w:val="28"/>
          <w:lang w:val="uk-UA"/>
        </w:rPr>
      </w:pPr>
    </w:p>
    <w:p w:rsidR="009C6759" w:rsidRDefault="009C6759" w:rsidP="002240E3">
      <w:pPr>
        <w:rPr>
          <w:sz w:val="28"/>
          <w:szCs w:val="28"/>
          <w:lang w:val="uk-UA"/>
        </w:rPr>
      </w:pPr>
    </w:p>
    <w:p w:rsidR="009C6759" w:rsidRPr="00173152" w:rsidRDefault="009C6759" w:rsidP="002240E3">
      <w:pPr>
        <w:rPr>
          <w:sz w:val="28"/>
          <w:szCs w:val="28"/>
          <w:lang w:val="uk-UA"/>
        </w:rPr>
      </w:pPr>
    </w:p>
    <w:p w:rsidR="002240E3" w:rsidRPr="00173152" w:rsidRDefault="0082339D" w:rsidP="0082339D">
      <w:pPr>
        <w:rPr>
          <w:sz w:val="28"/>
          <w:szCs w:val="28"/>
          <w:lang w:val="uk-UA"/>
        </w:rPr>
      </w:pPr>
      <w:r w:rsidRPr="00173152">
        <w:rPr>
          <w:sz w:val="28"/>
          <w:szCs w:val="28"/>
          <w:lang w:val="uk-UA"/>
        </w:rPr>
        <w:t xml:space="preserve">Керуючий справами </w:t>
      </w:r>
    </w:p>
    <w:p w:rsidR="000278C6" w:rsidRPr="00173152" w:rsidRDefault="0082339D" w:rsidP="0082339D">
      <w:pPr>
        <w:rPr>
          <w:sz w:val="28"/>
          <w:szCs w:val="28"/>
          <w:lang w:val="uk-UA"/>
        </w:rPr>
      </w:pPr>
      <w:r w:rsidRPr="00173152">
        <w:rPr>
          <w:sz w:val="28"/>
          <w:szCs w:val="28"/>
          <w:lang w:val="uk-UA"/>
        </w:rPr>
        <w:t>виконавчого</w:t>
      </w:r>
      <w:r w:rsidR="002240E3" w:rsidRPr="00173152">
        <w:rPr>
          <w:sz w:val="28"/>
          <w:szCs w:val="28"/>
          <w:lang w:val="uk-UA"/>
        </w:rPr>
        <w:t xml:space="preserve"> </w:t>
      </w:r>
    </w:p>
    <w:p w:rsidR="0082339D" w:rsidRPr="00173152" w:rsidRDefault="0082339D" w:rsidP="0082339D">
      <w:pPr>
        <w:rPr>
          <w:sz w:val="28"/>
          <w:szCs w:val="28"/>
          <w:lang w:val="uk-UA"/>
        </w:rPr>
      </w:pPr>
      <w:r w:rsidRPr="00173152">
        <w:rPr>
          <w:sz w:val="28"/>
          <w:szCs w:val="28"/>
          <w:lang w:val="uk-UA"/>
        </w:rPr>
        <w:t xml:space="preserve">комітету міської ради                                </w:t>
      </w:r>
      <w:r w:rsidR="002240E3" w:rsidRPr="00173152">
        <w:rPr>
          <w:sz w:val="28"/>
          <w:szCs w:val="28"/>
          <w:lang w:val="uk-UA"/>
        </w:rPr>
        <w:t xml:space="preserve">          </w:t>
      </w:r>
      <w:r w:rsidR="000278C6" w:rsidRPr="00173152">
        <w:rPr>
          <w:sz w:val="28"/>
          <w:szCs w:val="28"/>
          <w:lang w:val="uk-UA"/>
        </w:rPr>
        <w:tab/>
      </w:r>
      <w:r w:rsidR="000278C6" w:rsidRPr="00173152">
        <w:rPr>
          <w:sz w:val="28"/>
          <w:szCs w:val="28"/>
          <w:lang w:val="uk-UA"/>
        </w:rPr>
        <w:tab/>
      </w:r>
      <w:r w:rsidR="000278C6" w:rsidRPr="00173152">
        <w:rPr>
          <w:sz w:val="28"/>
          <w:szCs w:val="28"/>
          <w:lang w:val="uk-UA"/>
        </w:rPr>
        <w:tab/>
      </w:r>
      <w:r w:rsidRPr="00173152">
        <w:rPr>
          <w:sz w:val="28"/>
          <w:szCs w:val="28"/>
          <w:lang w:val="uk-UA"/>
        </w:rPr>
        <w:t>Любов ОЦАБРИКА</w:t>
      </w: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9C6759" w:rsidRDefault="009C6759" w:rsidP="002240E3">
      <w:pPr>
        <w:ind w:left="5760"/>
        <w:jc w:val="both"/>
        <w:rPr>
          <w:sz w:val="28"/>
          <w:szCs w:val="28"/>
          <w:lang w:val="uk-UA"/>
        </w:rPr>
      </w:pPr>
    </w:p>
    <w:p w:rsidR="002240E3" w:rsidRPr="00812569" w:rsidRDefault="002240E3" w:rsidP="002240E3">
      <w:pPr>
        <w:ind w:left="5760"/>
        <w:jc w:val="both"/>
        <w:rPr>
          <w:sz w:val="28"/>
          <w:szCs w:val="28"/>
          <w:lang w:val="uk-UA"/>
        </w:rPr>
      </w:pPr>
      <w:r>
        <w:rPr>
          <w:sz w:val="28"/>
          <w:szCs w:val="28"/>
          <w:lang w:val="uk-UA"/>
        </w:rPr>
        <w:lastRenderedPageBreak/>
        <w:t>Додаток 2</w:t>
      </w:r>
    </w:p>
    <w:p w:rsidR="002240E3" w:rsidRPr="00812569" w:rsidRDefault="002240E3" w:rsidP="002240E3">
      <w:pPr>
        <w:ind w:left="5760"/>
        <w:jc w:val="both"/>
        <w:rPr>
          <w:sz w:val="28"/>
          <w:szCs w:val="28"/>
          <w:lang w:val="uk-UA"/>
        </w:rPr>
      </w:pPr>
      <w:r w:rsidRPr="00812569">
        <w:rPr>
          <w:sz w:val="28"/>
          <w:szCs w:val="28"/>
          <w:lang w:val="uk-UA"/>
        </w:rPr>
        <w:t>до рішення виконавчого</w:t>
      </w:r>
    </w:p>
    <w:p w:rsidR="002240E3" w:rsidRPr="00812569" w:rsidRDefault="002240E3" w:rsidP="002240E3">
      <w:pPr>
        <w:ind w:left="5760"/>
        <w:jc w:val="both"/>
        <w:rPr>
          <w:sz w:val="28"/>
          <w:szCs w:val="28"/>
          <w:lang w:val="uk-UA"/>
        </w:rPr>
      </w:pPr>
      <w:r w:rsidRPr="00812569">
        <w:rPr>
          <w:sz w:val="28"/>
          <w:szCs w:val="28"/>
          <w:lang w:val="uk-UA"/>
        </w:rPr>
        <w:t>комітету міської ради</w:t>
      </w:r>
    </w:p>
    <w:p w:rsidR="00043DB0" w:rsidRDefault="00A425EC" w:rsidP="00043DB0">
      <w:pPr>
        <w:ind w:left="5040" w:firstLine="720"/>
        <w:rPr>
          <w:sz w:val="28"/>
          <w:szCs w:val="28"/>
          <w:lang w:val="uk-UA"/>
        </w:rPr>
      </w:pPr>
      <w:r>
        <w:rPr>
          <w:sz w:val="28"/>
          <w:szCs w:val="28"/>
          <w:lang w:val="uk-UA"/>
        </w:rPr>
        <w:t>07</w:t>
      </w:r>
      <w:r w:rsidR="002240E3" w:rsidRPr="00812569">
        <w:rPr>
          <w:sz w:val="28"/>
          <w:szCs w:val="28"/>
          <w:lang w:val="uk-UA"/>
        </w:rPr>
        <w:t xml:space="preserve">.10.2021 № </w:t>
      </w:r>
      <w:r w:rsidR="009E2AA8">
        <w:rPr>
          <w:sz w:val="28"/>
          <w:szCs w:val="28"/>
          <w:lang w:val="uk-UA"/>
        </w:rPr>
        <w:t>471</w:t>
      </w:r>
      <w:r w:rsidR="002240E3" w:rsidRPr="00812569">
        <w:rPr>
          <w:sz w:val="28"/>
          <w:szCs w:val="28"/>
          <w:lang w:val="uk-UA"/>
        </w:rPr>
        <w:t>/2021</w:t>
      </w:r>
    </w:p>
    <w:p w:rsidR="00043DB0" w:rsidRDefault="00043DB0" w:rsidP="00043DB0">
      <w:pPr>
        <w:rPr>
          <w:sz w:val="28"/>
          <w:szCs w:val="28"/>
          <w:lang w:val="uk-UA"/>
        </w:rPr>
      </w:pPr>
    </w:p>
    <w:p w:rsidR="00043DB0" w:rsidRDefault="00043DB0" w:rsidP="00043DB0">
      <w:pPr>
        <w:rPr>
          <w:sz w:val="28"/>
          <w:szCs w:val="28"/>
          <w:lang w:val="uk-UA"/>
        </w:rPr>
      </w:pPr>
    </w:p>
    <w:p w:rsidR="0082339D" w:rsidRPr="00043DB0" w:rsidRDefault="0082339D" w:rsidP="00043DB0">
      <w:pPr>
        <w:jc w:val="center"/>
        <w:rPr>
          <w:sz w:val="28"/>
          <w:szCs w:val="28"/>
          <w:lang w:val="uk-UA"/>
        </w:rPr>
      </w:pPr>
      <w:r w:rsidRPr="00812569">
        <w:rPr>
          <w:b/>
          <w:bCs/>
          <w:sz w:val="28"/>
          <w:szCs w:val="28"/>
          <w:lang w:val="uk-UA"/>
        </w:rPr>
        <w:t>ПЕРЕЛІК</w:t>
      </w:r>
    </w:p>
    <w:p w:rsidR="002240E3" w:rsidRDefault="002240E3" w:rsidP="002240E3">
      <w:pPr>
        <w:jc w:val="center"/>
        <w:rPr>
          <w:sz w:val="28"/>
          <w:szCs w:val="28"/>
          <w:lang w:val="uk-UA"/>
        </w:rPr>
      </w:pPr>
      <w:r>
        <w:rPr>
          <w:bCs/>
          <w:sz w:val="28"/>
          <w:szCs w:val="28"/>
          <w:lang w:val="uk-UA"/>
        </w:rPr>
        <w:t xml:space="preserve">платних послуг у </w:t>
      </w:r>
      <w:r w:rsidR="0082339D" w:rsidRPr="002240E3">
        <w:rPr>
          <w:sz w:val="28"/>
          <w:szCs w:val="28"/>
          <w:lang w:val="uk-UA"/>
        </w:rPr>
        <w:t xml:space="preserve">комунальному некомерційному підприємстві </w:t>
      </w:r>
    </w:p>
    <w:p w:rsidR="0082339D" w:rsidRPr="002240E3" w:rsidRDefault="002240E3" w:rsidP="002240E3">
      <w:pPr>
        <w:jc w:val="center"/>
        <w:rPr>
          <w:sz w:val="28"/>
          <w:szCs w:val="28"/>
          <w:lang w:val="uk-UA"/>
        </w:rPr>
      </w:pPr>
      <w:r>
        <w:rPr>
          <w:sz w:val="28"/>
          <w:szCs w:val="28"/>
          <w:lang w:val="uk-UA"/>
        </w:rPr>
        <w:t>Нетішинської міської ради «</w:t>
      </w:r>
      <w:r w:rsidR="0082339D" w:rsidRPr="002240E3">
        <w:rPr>
          <w:sz w:val="28"/>
          <w:szCs w:val="28"/>
          <w:lang w:val="uk-UA"/>
        </w:rPr>
        <w:t>Центр перви</w:t>
      </w:r>
      <w:r>
        <w:rPr>
          <w:sz w:val="28"/>
          <w:szCs w:val="28"/>
          <w:lang w:val="uk-UA"/>
        </w:rPr>
        <w:t>нної медико-санітарної допомоги»</w:t>
      </w:r>
    </w:p>
    <w:p w:rsidR="0082339D" w:rsidRDefault="0082339D" w:rsidP="0082339D">
      <w:pPr>
        <w:jc w:val="both"/>
        <w:rPr>
          <w:b/>
          <w:bCs/>
          <w:sz w:val="28"/>
          <w:szCs w:val="28"/>
          <w:lang w:val="uk-UA"/>
        </w:rPr>
      </w:pPr>
    </w:p>
    <w:p w:rsidR="00043DB0" w:rsidRPr="00812569" w:rsidRDefault="00043DB0" w:rsidP="0082339D">
      <w:pPr>
        <w:jc w:val="both"/>
        <w:rPr>
          <w:b/>
          <w:bCs/>
          <w:sz w:val="28"/>
          <w:szCs w:val="28"/>
          <w:lang w:val="uk-UA"/>
        </w:rPr>
      </w:pPr>
    </w:p>
    <w:p w:rsidR="0082339D" w:rsidRPr="00812569" w:rsidRDefault="0082339D" w:rsidP="0082339D">
      <w:pPr>
        <w:numPr>
          <w:ilvl w:val="0"/>
          <w:numId w:val="2"/>
        </w:numPr>
        <w:jc w:val="both"/>
        <w:rPr>
          <w:bCs/>
          <w:sz w:val="28"/>
          <w:szCs w:val="28"/>
          <w:lang w:val="uk-UA"/>
        </w:rPr>
      </w:pPr>
      <w:r w:rsidRPr="00812569">
        <w:rPr>
          <w:bCs/>
          <w:sz w:val="28"/>
          <w:szCs w:val="28"/>
          <w:lang w:val="uk-UA"/>
        </w:rPr>
        <w:t>Клініко-діагностичні дослідження.</w:t>
      </w:r>
    </w:p>
    <w:p w:rsidR="0082339D" w:rsidRPr="00812569" w:rsidRDefault="0082339D" w:rsidP="0082339D">
      <w:pPr>
        <w:numPr>
          <w:ilvl w:val="0"/>
          <w:numId w:val="2"/>
        </w:numPr>
        <w:jc w:val="both"/>
        <w:rPr>
          <w:bCs/>
          <w:sz w:val="28"/>
          <w:szCs w:val="28"/>
          <w:lang w:val="uk-UA"/>
        </w:rPr>
      </w:pPr>
      <w:r w:rsidRPr="00812569">
        <w:rPr>
          <w:bCs/>
          <w:sz w:val="28"/>
          <w:szCs w:val="28"/>
          <w:lang w:val="uk-UA"/>
        </w:rPr>
        <w:t>Дослідження функціональної діагностики.</w:t>
      </w:r>
    </w:p>
    <w:p w:rsidR="0082339D" w:rsidRPr="00812569" w:rsidRDefault="0082339D" w:rsidP="0082339D">
      <w:pPr>
        <w:numPr>
          <w:ilvl w:val="0"/>
          <w:numId w:val="2"/>
        </w:numPr>
        <w:jc w:val="both"/>
        <w:rPr>
          <w:sz w:val="28"/>
          <w:szCs w:val="28"/>
          <w:lang w:val="uk-UA"/>
        </w:rPr>
      </w:pPr>
      <w:r w:rsidRPr="00812569">
        <w:rPr>
          <w:sz w:val="28"/>
          <w:szCs w:val="28"/>
          <w:lang w:val="uk-UA"/>
        </w:rPr>
        <w:t>Консультативні послуги.</w:t>
      </w:r>
    </w:p>
    <w:p w:rsidR="0082339D" w:rsidRPr="00812569" w:rsidRDefault="0082339D" w:rsidP="0082339D">
      <w:pPr>
        <w:numPr>
          <w:ilvl w:val="0"/>
          <w:numId w:val="2"/>
        </w:numPr>
        <w:jc w:val="both"/>
        <w:rPr>
          <w:sz w:val="28"/>
          <w:szCs w:val="28"/>
          <w:lang w:val="uk-UA"/>
        </w:rPr>
      </w:pPr>
      <w:r w:rsidRPr="00812569">
        <w:rPr>
          <w:sz w:val="28"/>
          <w:szCs w:val="28"/>
          <w:lang w:val="uk-UA"/>
        </w:rPr>
        <w:t xml:space="preserve">Щеплення поза Календарем профілактичних щеплень (окрім вакцинації від </w:t>
      </w:r>
      <w:r w:rsidR="00043DB0" w:rsidRPr="00812569">
        <w:rPr>
          <w:sz w:val="28"/>
          <w:szCs w:val="28"/>
          <w:lang w:val="uk-UA"/>
        </w:rPr>
        <w:t>гострого</w:t>
      </w:r>
      <w:r w:rsidRPr="00812569">
        <w:rPr>
          <w:sz w:val="28"/>
          <w:szCs w:val="28"/>
          <w:lang w:val="uk-UA"/>
        </w:rPr>
        <w:t xml:space="preserve"> респіраторного захворювання COVID-19, спричиненого коронавірусом SARS-CoV</w:t>
      </w:r>
      <w:r w:rsidR="00043DB0">
        <w:rPr>
          <w:sz w:val="28"/>
          <w:szCs w:val="28"/>
          <w:lang w:val="uk-UA"/>
        </w:rPr>
        <w:t>-2).</w:t>
      </w:r>
    </w:p>
    <w:p w:rsidR="0082339D" w:rsidRPr="00812569" w:rsidRDefault="0082339D" w:rsidP="00043DB0">
      <w:pPr>
        <w:jc w:val="both"/>
        <w:rPr>
          <w:bCs/>
          <w:sz w:val="28"/>
          <w:szCs w:val="28"/>
          <w:lang w:val="uk-UA"/>
        </w:rPr>
      </w:pPr>
    </w:p>
    <w:p w:rsidR="0082339D" w:rsidRDefault="0082339D" w:rsidP="00043DB0">
      <w:pPr>
        <w:jc w:val="both"/>
        <w:rPr>
          <w:bCs/>
          <w:sz w:val="28"/>
          <w:szCs w:val="28"/>
          <w:lang w:val="uk-UA"/>
        </w:rPr>
      </w:pPr>
    </w:p>
    <w:p w:rsidR="00043DB0" w:rsidRPr="00812569" w:rsidRDefault="00043DB0" w:rsidP="00043DB0">
      <w:pPr>
        <w:jc w:val="both"/>
        <w:rPr>
          <w:bCs/>
          <w:sz w:val="28"/>
          <w:szCs w:val="28"/>
          <w:lang w:val="uk-UA"/>
        </w:rPr>
      </w:pPr>
    </w:p>
    <w:p w:rsidR="0082339D" w:rsidRPr="00812569" w:rsidRDefault="0082339D" w:rsidP="0082339D">
      <w:pPr>
        <w:rPr>
          <w:sz w:val="28"/>
          <w:szCs w:val="28"/>
          <w:lang w:val="uk-UA"/>
        </w:rPr>
      </w:pPr>
    </w:p>
    <w:p w:rsidR="0082339D" w:rsidRDefault="0082339D" w:rsidP="0082339D">
      <w:pPr>
        <w:rPr>
          <w:sz w:val="28"/>
          <w:szCs w:val="28"/>
          <w:lang w:val="uk-UA"/>
        </w:rPr>
      </w:pPr>
    </w:p>
    <w:p w:rsidR="00043DB0" w:rsidRDefault="00043DB0" w:rsidP="0082339D">
      <w:pPr>
        <w:rPr>
          <w:sz w:val="28"/>
          <w:szCs w:val="28"/>
          <w:lang w:val="uk-UA"/>
        </w:rPr>
      </w:pPr>
    </w:p>
    <w:p w:rsidR="00043DB0" w:rsidRPr="00812569" w:rsidRDefault="00043DB0" w:rsidP="0082339D">
      <w:pPr>
        <w:rPr>
          <w:sz w:val="28"/>
          <w:szCs w:val="28"/>
          <w:lang w:val="uk-UA"/>
        </w:rPr>
      </w:pPr>
    </w:p>
    <w:p w:rsidR="00043DB0" w:rsidRDefault="0082339D" w:rsidP="0082339D">
      <w:pPr>
        <w:rPr>
          <w:sz w:val="28"/>
          <w:szCs w:val="28"/>
          <w:lang w:val="uk-UA"/>
        </w:rPr>
      </w:pPr>
      <w:r w:rsidRPr="00812569">
        <w:rPr>
          <w:sz w:val="28"/>
          <w:szCs w:val="28"/>
          <w:lang w:val="uk-UA"/>
        </w:rPr>
        <w:t xml:space="preserve">Керуючий справами </w:t>
      </w:r>
    </w:p>
    <w:p w:rsidR="0082339D" w:rsidRPr="00812569" w:rsidRDefault="0082339D" w:rsidP="0082339D">
      <w:pPr>
        <w:rPr>
          <w:sz w:val="28"/>
          <w:szCs w:val="28"/>
          <w:lang w:val="uk-UA"/>
        </w:rPr>
      </w:pPr>
      <w:r w:rsidRPr="00812569">
        <w:rPr>
          <w:sz w:val="28"/>
          <w:szCs w:val="28"/>
          <w:lang w:val="uk-UA"/>
        </w:rPr>
        <w:t>виконавчого</w:t>
      </w:r>
    </w:p>
    <w:p w:rsidR="0082339D" w:rsidRPr="00812569" w:rsidRDefault="00043DB0" w:rsidP="0082339D">
      <w:pPr>
        <w:rPr>
          <w:sz w:val="28"/>
          <w:szCs w:val="28"/>
          <w:lang w:val="uk-UA"/>
        </w:rPr>
      </w:pPr>
      <w:r>
        <w:rPr>
          <w:sz w:val="28"/>
          <w:szCs w:val="28"/>
          <w:lang w:val="uk-UA"/>
        </w:rPr>
        <w:t>комітету</w:t>
      </w:r>
      <w:r w:rsidR="0082339D" w:rsidRPr="00812569">
        <w:rPr>
          <w:sz w:val="28"/>
          <w:szCs w:val="28"/>
          <w:lang w:val="uk-UA"/>
        </w:rPr>
        <w:t xml:space="preserve">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82339D" w:rsidRPr="00812569">
        <w:rPr>
          <w:sz w:val="28"/>
          <w:szCs w:val="28"/>
          <w:lang w:val="uk-UA"/>
        </w:rPr>
        <w:t>Любов ОЦАБРИКА</w:t>
      </w:r>
    </w:p>
    <w:p w:rsidR="0082339D" w:rsidRPr="00812569" w:rsidRDefault="0082339D" w:rsidP="0082339D">
      <w:pPr>
        <w:rPr>
          <w:sz w:val="28"/>
          <w:szCs w:val="28"/>
          <w:lang w:val="uk-UA"/>
        </w:rPr>
      </w:pPr>
    </w:p>
    <w:p w:rsidR="0082339D" w:rsidRPr="00812569" w:rsidRDefault="0082339D" w:rsidP="0082339D">
      <w:pPr>
        <w:rPr>
          <w:sz w:val="28"/>
          <w:szCs w:val="28"/>
          <w:lang w:val="uk-UA"/>
        </w:rPr>
      </w:pPr>
    </w:p>
    <w:p w:rsidR="0082339D" w:rsidRPr="00812569" w:rsidRDefault="0082339D" w:rsidP="0082339D">
      <w:pPr>
        <w:rPr>
          <w:sz w:val="28"/>
          <w:szCs w:val="28"/>
          <w:lang w:val="uk-UA"/>
        </w:rPr>
      </w:pPr>
    </w:p>
    <w:p w:rsidR="0082339D" w:rsidRPr="00812569" w:rsidRDefault="0082339D" w:rsidP="0082339D">
      <w:pPr>
        <w:rPr>
          <w:sz w:val="28"/>
          <w:szCs w:val="28"/>
          <w:lang w:val="uk-UA"/>
        </w:rPr>
      </w:pPr>
    </w:p>
    <w:p w:rsidR="0082339D" w:rsidRPr="00812569" w:rsidRDefault="0082339D" w:rsidP="0082339D">
      <w:pPr>
        <w:rPr>
          <w:sz w:val="28"/>
          <w:szCs w:val="28"/>
          <w:lang w:val="uk-UA"/>
        </w:rPr>
      </w:pPr>
    </w:p>
    <w:p w:rsidR="0082339D" w:rsidRPr="00812569" w:rsidRDefault="0082339D" w:rsidP="0082339D">
      <w:pPr>
        <w:rPr>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82339D" w:rsidRPr="00812569" w:rsidRDefault="0082339D" w:rsidP="0082339D">
      <w:pPr>
        <w:ind w:left="6381"/>
        <w:jc w:val="both"/>
        <w:rPr>
          <w:bCs/>
          <w:sz w:val="28"/>
          <w:szCs w:val="28"/>
          <w:lang w:val="uk-UA"/>
        </w:rPr>
      </w:pPr>
    </w:p>
    <w:p w:rsidR="00043DB0" w:rsidRPr="00812569" w:rsidRDefault="00043DB0" w:rsidP="00043DB0">
      <w:pPr>
        <w:ind w:left="5760"/>
        <w:jc w:val="both"/>
        <w:rPr>
          <w:sz w:val="28"/>
          <w:szCs w:val="28"/>
          <w:lang w:val="uk-UA"/>
        </w:rPr>
      </w:pPr>
      <w:r>
        <w:rPr>
          <w:sz w:val="28"/>
          <w:szCs w:val="28"/>
          <w:lang w:val="uk-UA"/>
        </w:rPr>
        <w:lastRenderedPageBreak/>
        <w:t>Додаток 3</w:t>
      </w:r>
    </w:p>
    <w:p w:rsidR="00043DB0" w:rsidRPr="00812569" w:rsidRDefault="00043DB0" w:rsidP="00043DB0">
      <w:pPr>
        <w:ind w:left="5760"/>
        <w:jc w:val="both"/>
        <w:rPr>
          <w:sz w:val="28"/>
          <w:szCs w:val="28"/>
          <w:lang w:val="uk-UA"/>
        </w:rPr>
      </w:pPr>
      <w:r w:rsidRPr="00812569">
        <w:rPr>
          <w:sz w:val="28"/>
          <w:szCs w:val="28"/>
          <w:lang w:val="uk-UA"/>
        </w:rPr>
        <w:t>до рішення виконавчого</w:t>
      </w:r>
    </w:p>
    <w:p w:rsidR="00043DB0" w:rsidRPr="00812569" w:rsidRDefault="00043DB0" w:rsidP="00043DB0">
      <w:pPr>
        <w:ind w:left="5760"/>
        <w:jc w:val="both"/>
        <w:rPr>
          <w:sz w:val="28"/>
          <w:szCs w:val="28"/>
          <w:lang w:val="uk-UA"/>
        </w:rPr>
      </w:pPr>
      <w:r w:rsidRPr="00812569">
        <w:rPr>
          <w:sz w:val="28"/>
          <w:szCs w:val="28"/>
          <w:lang w:val="uk-UA"/>
        </w:rPr>
        <w:t>комітету міської ради</w:t>
      </w:r>
    </w:p>
    <w:p w:rsidR="0082339D" w:rsidRPr="00812569" w:rsidRDefault="00A425EC" w:rsidP="00043DB0">
      <w:pPr>
        <w:ind w:left="5040" w:firstLine="720"/>
        <w:rPr>
          <w:bCs/>
          <w:sz w:val="28"/>
          <w:szCs w:val="28"/>
          <w:lang w:val="uk-UA"/>
        </w:rPr>
      </w:pPr>
      <w:r>
        <w:rPr>
          <w:sz w:val="28"/>
          <w:szCs w:val="28"/>
          <w:lang w:val="uk-UA"/>
        </w:rPr>
        <w:t>07</w:t>
      </w:r>
      <w:r w:rsidR="00043DB0" w:rsidRPr="00812569">
        <w:rPr>
          <w:sz w:val="28"/>
          <w:szCs w:val="28"/>
          <w:lang w:val="uk-UA"/>
        </w:rPr>
        <w:t xml:space="preserve">.10.2021 № </w:t>
      </w:r>
      <w:r w:rsidR="009E2AA8">
        <w:rPr>
          <w:sz w:val="28"/>
          <w:szCs w:val="28"/>
          <w:lang w:val="uk-UA"/>
        </w:rPr>
        <w:t>471</w:t>
      </w:r>
      <w:bookmarkStart w:id="2" w:name="_GoBack"/>
      <w:bookmarkEnd w:id="2"/>
      <w:r w:rsidR="00043DB0" w:rsidRPr="00812569">
        <w:rPr>
          <w:sz w:val="28"/>
          <w:szCs w:val="28"/>
          <w:lang w:val="uk-UA"/>
        </w:rPr>
        <w:t>/2021</w:t>
      </w:r>
    </w:p>
    <w:p w:rsidR="00043DB0" w:rsidRDefault="00043DB0" w:rsidP="0082339D">
      <w:pPr>
        <w:rPr>
          <w:b/>
          <w:bCs/>
          <w:sz w:val="28"/>
          <w:szCs w:val="28"/>
          <w:lang w:val="uk-UA"/>
        </w:rPr>
      </w:pPr>
    </w:p>
    <w:p w:rsidR="0082339D" w:rsidRPr="00812569" w:rsidRDefault="0082339D" w:rsidP="00043DB0">
      <w:pPr>
        <w:jc w:val="center"/>
        <w:rPr>
          <w:b/>
          <w:sz w:val="28"/>
          <w:szCs w:val="28"/>
          <w:lang w:val="uk-UA"/>
        </w:rPr>
      </w:pPr>
      <w:r w:rsidRPr="00812569">
        <w:rPr>
          <w:b/>
          <w:sz w:val="28"/>
          <w:szCs w:val="28"/>
          <w:lang w:val="uk-UA"/>
        </w:rPr>
        <w:t>ВАРТІСТЬ</w:t>
      </w:r>
    </w:p>
    <w:p w:rsidR="0082339D" w:rsidRPr="00043DB0" w:rsidRDefault="00043DB0" w:rsidP="00043DB0">
      <w:pPr>
        <w:jc w:val="center"/>
        <w:rPr>
          <w:sz w:val="28"/>
          <w:szCs w:val="28"/>
          <w:lang w:val="uk-UA"/>
        </w:rPr>
      </w:pPr>
      <w:r w:rsidRPr="00043DB0">
        <w:rPr>
          <w:bCs/>
          <w:sz w:val="28"/>
          <w:szCs w:val="28"/>
          <w:lang w:val="uk-UA"/>
        </w:rPr>
        <w:t xml:space="preserve">платних послуг у </w:t>
      </w:r>
      <w:r w:rsidR="0082339D" w:rsidRPr="00043DB0">
        <w:rPr>
          <w:sz w:val="28"/>
          <w:szCs w:val="28"/>
          <w:lang w:val="uk-UA"/>
        </w:rPr>
        <w:t xml:space="preserve">комунальному некомерційному підприємстві Нетішинської міської ради </w:t>
      </w:r>
      <w:r w:rsidRPr="00043DB0">
        <w:rPr>
          <w:sz w:val="28"/>
          <w:szCs w:val="28"/>
          <w:lang w:val="uk-UA"/>
        </w:rPr>
        <w:t>«</w:t>
      </w:r>
      <w:r w:rsidR="0082339D" w:rsidRPr="00043DB0">
        <w:rPr>
          <w:sz w:val="28"/>
          <w:szCs w:val="28"/>
          <w:lang w:val="uk-UA"/>
        </w:rPr>
        <w:t>Центр первинної</w:t>
      </w:r>
      <w:r>
        <w:rPr>
          <w:sz w:val="28"/>
          <w:szCs w:val="28"/>
          <w:lang w:val="uk-UA"/>
        </w:rPr>
        <w:t xml:space="preserve"> </w:t>
      </w:r>
      <w:r w:rsidR="0082339D" w:rsidRPr="00043DB0">
        <w:rPr>
          <w:sz w:val="28"/>
          <w:szCs w:val="28"/>
          <w:lang w:val="uk-UA"/>
        </w:rPr>
        <w:t>медико-саніта</w:t>
      </w:r>
      <w:r w:rsidRPr="00043DB0">
        <w:rPr>
          <w:sz w:val="28"/>
          <w:szCs w:val="28"/>
          <w:lang w:val="uk-UA"/>
        </w:rPr>
        <w:t>рної допомоги»</w:t>
      </w:r>
    </w:p>
    <w:p w:rsidR="0082339D" w:rsidRPr="00812569" w:rsidRDefault="0082339D" w:rsidP="00043DB0">
      <w:pPr>
        <w:jc w:val="right"/>
        <w:rPr>
          <w:sz w:val="28"/>
          <w:szCs w:val="28"/>
          <w:lang w:val="uk-UA"/>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3561"/>
        <w:gridCol w:w="1573"/>
        <w:gridCol w:w="1118"/>
        <w:gridCol w:w="1046"/>
        <w:gridCol w:w="72"/>
        <w:gridCol w:w="1118"/>
      </w:tblGrid>
      <w:tr w:rsidR="0082339D" w:rsidRPr="00812569" w:rsidTr="00043DB0">
        <w:trPr>
          <w:trHeight w:val="20"/>
        </w:trPr>
        <w:tc>
          <w:tcPr>
            <w:tcW w:w="9696" w:type="dxa"/>
            <w:gridSpan w:val="7"/>
            <w:tcBorders>
              <w:top w:val="single" w:sz="4" w:space="0" w:color="auto"/>
              <w:left w:val="single" w:sz="4" w:space="0" w:color="auto"/>
              <w:bottom w:val="single" w:sz="4" w:space="0" w:color="auto"/>
              <w:right w:val="single" w:sz="4" w:space="0" w:color="auto"/>
            </w:tcBorders>
          </w:tcPr>
          <w:p w:rsidR="0082339D" w:rsidRPr="00812569" w:rsidRDefault="0082339D" w:rsidP="00043DB0">
            <w:pPr>
              <w:tabs>
                <w:tab w:val="left" w:pos="255"/>
              </w:tabs>
              <w:ind w:left="36"/>
              <w:jc w:val="center"/>
              <w:rPr>
                <w:sz w:val="28"/>
                <w:szCs w:val="28"/>
                <w:lang w:val="uk-UA"/>
              </w:rPr>
            </w:pPr>
            <w:r w:rsidRPr="00812569">
              <w:rPr>
                <w:b/>
                <w:sz w:val="28"/>
                <w:szCs w:val="28"/>
                <w:lang w:val="uk-UA"/>
              </w:rPr>
              <w:t>І.</w:t>
            </w:r>
            <w:r w:rsidR="00043DB0">
              <w:rPr>
                <w:b/>
                <w:sz w:val="28"/>
                <w:szCs w:val="28"/>
                <w:lang w:val="uk-UA"/>
              </w:rPr>
              <w:t> </w:t>
            </w:r>
            <w:r w:rsidRPr="00812569">
              <w:rPr>
                <w:b/>
                <w:sz w:val="28"/>
                <w:szCs w:val="28"/>
                <w:lang w:val="uk-UA"/>
              </w:rPr>
              <w:t>Клініко-діагностичні дослідження</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ind w:left="36"/>
              <w:jc w:val="center"/>
              <w:rPr>
                <w:sz w:val="28"/>
                <w:szCs w:val="28"/>
                <w:lang w:val="uk-UA"/>
              </w:rPr>
            </w:pPr>
            <w:r w:rsidRPr="00812569">
              <w:rPr>
                <w:sz w:val="28"/>
                <w:szCs w:val="28"/>
                <w:lang w:val="uk-UA"/>
              </w:rPr>
              <w:t>Код послуги</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ind w:left="36"/>
              <w:jc w:val="center"/>
              <w:rPr>
                <w:sz w:val="28"/>
                <w:szCs w:val="28"/>
                <w:lang w:val="uk-UA"/>
              </w:rPr>
            </w:pPr>
            <w:r w:rsidRPr="00812569">
              <w:rPr>
                <w:sz w:val="28"/>
                <w:szCs w:val="28"/>
                <w:lang w:val="uk-UA"/>
              </w:rPr>
              <w:t>Найменування послуги</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ind w:left="36"/>
              <w:jc w:val="center"/>
              <w:rPr>
                <w:sz w:val="28"/>
                <w:szCs w:val="28"/>
                <w:lang w:val="uk-UA"/>
              </w:rPr>
            </w:pPr>
            <w:r w:rsidRPr="00812569">
              <w:rPr>
                <w:sz w:val="28"/>
                <w:szCs w:val="28"/>
                <w:lang w:val="uk-UA"/>
              </w:rPr>
              <w:t>Од. виміру</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ind w:left="-100" w:right="-139"/>
              <w:jc w:val="center"/>
              <w:rPr>
                <w:sz w:val="28"/>
                <w:szCs w:val="28"/>
                <w:lang w:val="uk-UA"/>
              </w:rPr>
            </w:pPr>
            <w:r w:rsidRPr="00812569">
              <w:rPr>
                <w:sz w:val="28"/>
                <w:szCs w:val="28"/>
                <w:lang w:val="uk-UA"/>
              </w:rPr>
              <w:t>Ціна (грн) без ПДВ</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ind w:left="-100" w:right="-139"/>
              <w:jc w:val="center"/>
              <w:rPr>
                <w:sz w:val="28"/>
                <w:szCs w:val="28"/>
                <w:lang w:val="uk-UA"/>
              </w:rPr>
            </w:pPr>
            <w:r w:rsidRPr="00812569">
              <w:rPr>
                <w:sz w:val="28"/>
                <w:szCs w:val="28"/>
                <w:lang w:val="uk-UA"/>
              </w:rPr>
              <w:t>ПДВ (грн)</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ind w:left="-100" w:right="-139"/>
              <w:jc w:val="center"/>
              <w:rPr>
                <w:sz w:val="28"/>
                <w:szCs w:val="28"/>
                <w:lang w:val="uk-UA"/>
              </w:rPr>
            </w:pPr>
            <w:r w:rsidRPr="00812569">
              <w:rPr>
                <w:sz w:val="28"/>
                <w:szCs w:val="28"/>
                <w:lang w:val="uk-UA"/>
              </w:rPr>
              <w:t>Ціна (грн.)</w:t>
            </w:r>
          </w:p>
          <w:p w:rsidR="0082339D" w:rsidRPr="00812569" w:rsidRDefault="0082339D" w:rsidP="00043DB0">
            <w:pPr>
              <w:ind w:left="-100" w:right="-139"/>
              <w:jc w:val="center"/>
              <w:rPr>
                <w:sz w:val="28"/>
                <w:szCs w:val="28"/>
                <w:lang w:val="uk-UA"/>
              </w:rPr>
            </w:pPr>
            <w:r w:rsidRPr="00812569">
              <w:rPr>
                <w:sz w:val="28"/>
                <w:szCs w:val="28"/>
                <w:lang w:val="uk-UA"/>
              </w:rPr>
              <w:t>з ПДВ</w:t>
            </w:r>
          </w:p>
        </w:tc>
      </w:tr>
      <w:tr w:rsidR="00043DB0" w:rsidRPr="00043DB0"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1</w:t>
            </w:r>
          </w:p>
        </w:tc>
        <w:tc>
          <w:tcPr>
            <w:tcW w:w="3561" w:type="dxa"/>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2</w:t>
            </w:r>
          </w:p>
        </w:tc>
        <w:tc>
          <w:tcPr>
            <w:tcW w:w="1573" w:type="dxa"/>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3</w:t>
            </w:r>
          </w:p>
        </w:tc>
        <w:tc>
          <w:tcPr>
            <w:tcW w:w="1118" w:type="dxa"/>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4</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5</w:t>
            </w:r>
          </w:p>
        </w:tc>
        <w:tc>
          <w:tcPr>
            <w:tcW w:w="1118" w:type="dxa"/>
            <w:tcBorders>
              <w:top w:val="single" w:sz="4" w:space="0" w:color="auto"/>
              <w:left w:val="single" w:sz="4" w:space="0" w:color="auto"/>
              <w:bottom w:val="single" w:sz="4" w:space="0" w:color="auto"/>
              <w:right w:val="single" w:sz="4" w:space="0" w:color="auto"/>
            </w:tcBorders>
            <w:hideMark/>
          </w:tcPr>
          <w:p w:rsidR="0082339D" w:rsidRPr="00043DB0" w:rsidRDefault="0082339D" w:rsidP="0082339D">
            <w:pPr>
              <w:tabs>
                <w:tab w:val="left" w:pos="255"/>
              </w:tabs>
              <w:ind w:left="36"/>
              <w:jc w:val="center"/>
              <w:rPr>
                <w:b/>
                <w:i/>
                <w:sz w:val="28"/>
                <w:szCs w:val="28"/>
                <w:lang w:val="uk-UA"/>
              </w:rPr>
            </w:pPr>
            <w:r w:rsidRPr="00043DB0">
              <w:rPr>
                <w:b/>
                <w:i/>
                <w:sz w:val="28"/>
                <w:szCs w:val="28"/>
                <w:lang w:val="uk-UA"/>
              </w:rPr>
              <w:t>6</w:t>
            </w:r>
          </w:p>
        </w:tc>
      </w:tr>
      <w:tr w:rsidR="0082339D" w:rsidRPr="00812569" w:rsidTr="00043DB0">
        <w:trPr>
          <w:trHeight w:val="20"/>
        </w:trPr>
        <w:tc>
          <w:tcPr>
            <w:tcW w:w="9696" w:type="dxa"/>
            <w:gridSpan w:val="7"/>
            <w:tcBorders>
              <w:top w:val="nil"/>
              <w:left w:val="single" w:sz="4" w:space="0" w:color="auto"/>
              <w:bottom w:val="single" w:sz="4" w:space="0" w:color="auto"/>
              <w:right w:val="single" w:sz="4" w:space="0" w:color="auto"/>
            </w:tcBorders>
            <w:hideMark/>
          </w:tcPr>
          <w:p w:rsidR="0082339D" w:rsidRPr="00812569" w:rsidRDefault="0082339D" w:rsidP="00043DB0">
            <w:pPr>
              <w:tabs>
                <w:tab w:val="left" w:pos="255"/>
              </w:tabs>
              <w:jc w:val="center"/>
              <w:rPr>
                <w:sz w:val="28"/>
                <w:szCs w:val="28"/>
                <w:lang w:val="uk-UA"/>
              </w:rPr>
            </w:pPr>
            <w:r w:rsidRPr="00812569">
              <w:rPr>
                <w:sz w:val="28"/>
                <w:szCs w:val="28"/>
                <w:lang w:val="uk-UA"/>
              </w:rPr>
              <w:t>Загально-клінічні дослідження</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tcPr>
          <w:p w:rsidR="0082339D" w:rsidRPr="00812569" w:rsidRDefault="0082339D" w:rsidP="00043DB0">
            <w:pPr>
              <w:tabs>
                <w:tab w:val="left" w:pos="255"/>
              </w:tabs>
              <w:jc w:val="center"/>
              <w:rPr>
                <w:sz w:val="28"/>
                <w:szCs w:val="28"/>
                <w:lang w:val="uk-UA"/>
              </w:rPr>
            </w:pPr>
            <w:r w:rsidRPr="00812569">
              <w:rPr>
                <w:sz w:val="28"/>
                <w:szCs w:val="28"/>
                <w:lang w:val="uk-UA"/>
              </w:rPr>
              <w:t>1</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jc w:val="both"/>
              <w:rPr>
                <w:sz w:val="28"/>
                <w:szCs w:val="28"/>
                <w:lang w:val="uk-UA"/>
              </w:rPr>
            </w:pPr>
            <w:r w:rsidRPr="00812569">
              <w:rPr>
                <w:sz w:val="28"/>
                <w:szCs w:val="28"/>
                <w:lang w:val="uk-UA"/>
              </w:rPr>
              <w:t>Аналіз сечі загальний</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 досл.</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23,20</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4,64</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b/>
                <w:sz w:val="28"/>
                <w:szCs w:val="28"/>
                <w:lang w:val="uk-UA"/>
              </w:rPr>
            </w:pPr>
            <w:r w:rsidRPr="00812569">
              <w:rPr>
                <w:b/>
                <w:sz w:val="28"/>
                <w:szCs w:val="28"/>
                <w:lang w:val="uk-UA"/>
              </w:rPr>
              <w:t>27,84</w:t>
            </w:r>
          </w:p>
        </w:tc>
      </w:tr>
      <w:tr w:rsidR="0082339D" w:rsidRPr="00812569" w:rsidTr="00043DB0">
        <w:trPr>
          <w:trHeight w:val="20"/>
        </w:trPr>
        <w:tc>
          <w:tcPr>
            <w:tcW w:w="9696" w:type="dxa"/>
            <w:gridSpan w:val="7"/>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Гематологічні дослідження ЗАК</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tcPr>
          <w:p w:rsidR="0082339D" w:rsidRPr="00812569" w:rsidRDefault="0082339D" w:rsidP="00047E8A">
            <w:pPr>
              <w:ind w:right="-14"/>
              <w:jc w:val="both"/>
              <w:rPr>
                <w:sz w:val="28"/>
                <w:szCs w:val="28"/>
                <w:lang w:val="uk-UA"/>
              </w:rPr>
            </w:pPr>
            <w:r w:rsidRPr="00812569">
              <w:rPr>
                <w:sz w:val="28"/>
                <w:szCs w:val="28"/>
                <w:lang w:val="uk-UA"/>
              </w:rPr>
              <w:t xml:space="preserve">Аналіз крові загальний на </w:t>
            </w:r>
            <w:r w:rsidRPr="00043DB0">
              <w:rPr>
                <w:spacing w:val="-2"/>
                <w:sz w:val="28"/>
                <w:szCs w:val="28"/>
                <w:lang w:val="uk-UA"/>
              </w:rPr>
              <w:t>гематологічному аналізаторі</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 досл.</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37,28</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7,46</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b/>
                <w:sz w:val="28"/>
                <w:szCs w:val="28"/>
                <w:lang w:val="uk-UA"/>
              </w:rPr>
            </w:pPr>
            <w:r w:rsidRPr="00812569">
              <w:rPr>
                <w:b/>
                <w:sz w:val="28"/>
                <w:szCs w:val="28"/>
                <w:lang w:val="uk-UA"/>
              </w:rPr>
              <w:t>44,74</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2</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7E8A">
            <w:pPr>
              <w:tabs>
                <w:tab w:val="left" w:pos="255"/>
              </w:tabs>
              <w:jc w:val="both"/>
              <w:rPr>
                <w:sz w:val="28"/>
                <w:szCs w:val="28"/>
                <w:lang w:val="uk-UA"/>
              </w:rPr>
            </w:pPr>
            <w:r w:rsidRPr="00812569">
              <w:rPr>
                <w:sz w:val="28"/>
                <w:szCs w:val="28"/>
                <w:lang w:val="uk-UA"/>
              </w:rPr>
              <w:t>Глюкометрія</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 досл.</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13,52</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2,70</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b/>
                <w:sz w:val="28"/>
                <w:szCs w:val="28"/>
                <w:lang w:val="uk-UA"/>
              </w:rPr>
            </w:pPr>
            <w:r w:rsidRPr="00812569">
              <w:rPr>
                <w:b/>
                <w:sz w:val="28"/>
                <w:szCs w:val="28"/>
                <w:lang w:val="uk-UA"/>
              </w:rPr>
              <w:t>16,22</w:t>
            </w:r>
          </w:p>
        </w:tc>
      </w:tr>
      <w:tr w:rsidR="0082339D" w:rsidRPr="00812569" w:rsidTr="00043DB0">
        <w:trPr>
          <w:trHeight w:val="20"/>
        </w:trPr>
        <w:tc>
          <w:tcPr>
            <w:tcW w:w="9696" w:type="dxa"/>
            <w:gridSpan w:val="7"/>
            <w:tcBorders>
              <w:top w:val="single" w:sz="4" w:space="0" w:color="auto"/>
              <w:left w:val="single" w:sz="4" w:space="0" w:color="auto"/>
              <w:bottom w:val="single" w:sz="4" w:space="0" w:color="auto"/>
              <w:right w:val="single" w:sz="4" w:space="0" w:color="auto"/>
            </w:tcBorders>
            <w:hideMark/>
          </w:tcPr>
          <w:p w:rsidR="0082339D" w:rsidRPr="00812569" w:rsidRDefault="00043DB0" w:rsidP="0082339D">
            <w:pPr>
              <w:tabs>
                <w:tab w:val="left" w:pos="255"/>
              </w:tabs>
              <w:jc w:val="center"/>
              <w:rPr>
                <w:b/>
                <w:sz w:val="28"/>
                <w:szCs w:val="28"/>
                <w:lang w:val="uk-UA"/>
              </w:rPr>
            </w:pPr>
            <w:r>
              <w:rPr>
                <w:b/>
                <w:sz w:val="28"/>
                <w:szCs w:val="28"/>
                <w:lang w:val="uk-UA"/>
              </w:rPr>
              <w:t>ІІ. </w:t>
            </w:r>
            <w:r w:rsidR="0082339D" w:rsidRPr="00812569">
              <w:rPr>
                <w:b/>
                <w:sz w:val="28"/>
                <w:szCs w:val="28"/>
                <w:lang w:val="uk-UA"/>
              </w:rPr>
              <w:t>Дослідження функціональної діагностики</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both"/>
              <w:rPr>
                <w:sz w:val="28"/>
                <w:szCs w:val="28"/>
                <w:lang w:val="uk-UA"/>
              </w:rPr>
            </w:pPr>
            <w:r w:rsidRPr="00812569">
              <w:rPr>
                <w:sz w:val="28"/>
                <w:szCs w:val="28"/>
                <w:lang w:val="uk-UA"/>
              </w:rPr>
              <w:t>ЕКГ</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 досл.</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15,04</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3,01</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b/>
                <w:sz w:val="28"/>
                <w:szCs w:val="28"/>
                <w:lang w:val="uk-UA"/>
              </w:rPr>
            </w:pPr>
            <w:r w:rsidRPr="00812569">
              <w:rPr>
                <w:b/>
                <w:sz w:val="28"/>
                <w:szCs w:val="28"/>
                <w:lang w:val="uk-UA"/>
              </w:rPr>
              <w:t>18,05</w:t>
            </w:r>
          </w:p>
        </w:tc>
      </w:tr>
      <w:tr w:rsidR="0082339D" w:rsidRPr="00812569" w:rsidTr="00043DB0">
        <w:trPr>
          <w:trHeight w:val="20"/>
        </w:trPr>
        <w:tc>
          <w:tcPr>
            <w:tcW w:w="9696" w:type="dxa"/>
            <w:gridSpan w:val="7"/>
            <w:tcBorders>
              <w:top w:val="single" w:sz="4" w:space="0" w:color="auto"/>
              <w:left w:val="single" w:sz="4" w:space="0" w:color="auto"/>
              <w:bottom w:val="single" w:sz="4" w:space="0" w:color="auto"/>
              <w:right w:val="single" w:sz="4" w:space="0" w:color="auto"/>
            </w:tcBorders>
            <w:hideMark/>
          </w:tcPr>
          <w:p w:rsidR="0082339D" w:rsidRPr="00812569" w:rsidRDefault="00043DB0" w:rsidP="0082339D">
            <w:pPr>
              <w:tabs>
                <w:tab w:val="left" w:pos="255"/>
              </w:tabs>
              <w:jc w:val="center"/>
              <w:rPr>
                <w:b/>
                <w:sz w:val="28"/>
                <w:szCs w:val="28"/>
                <w:lang w:val="uk-UA"/>
              </w:rPr>
            </w:pPr>
            <w:r>
              <w:rPr>
                <w:b/>
                <w:sz w:val="28"/>
                <w:szCs w:val="28"/>
                <w:lang w:val="uk-UA"/>
              </w:rPr>
              <w:t>ІІІ. </w:t>
            </w:r>
            <w:r w:rsidR="0082339D" w:rsidRPr="00812569">
              <w:rPr>
                <w:b/>
                <w:sz w:val="28"/>
                <w:szCs w:val="28"/>
                <w:lang w:val="uk-UA"/>
              </w:rPr>
              <w:t>Консультативні послуги</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jc w:val="both"/>
              <w:rPr>
                <w:sz w:val="28"/>
                <w:szCs w:val="28"/>
                <w:lang w:val="uk-UA"/>
              </w:rPr>
            </w:pPr>
            <w:r w:rsidRPr="00812569">
              <w:rPr>
                <w:sz w:val="28"/>
                <w:szCs w:val="28"/>
                <w:lang w:val="uk-UA"/>
              </w:rPr>
              <w:t>Консультація лікаря</w:t>
            </w:r>
            <w:r w:rsidR="00043DB0">
              <w:rPr>
                <w:sz w:val="28"/>
                <w:szCs w:val="28"/>
                <w:lang w:val="uk-UA"/>
              </w:rPr>
              <w:t xml:space="preserve"> </w:t>
            </w:r>
            <w:r w:rsidRPr="00812569">
              <w:rPr>
                <w:sz w:val="28"/>
                <w:szCs w:val="28"/>
                <w:lang w:val="uk-UA"/>
              </w:rPr>
              <w:t>(огляд) перед вакцинацією</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ind w:left="-123" w:right="-112"/>
              <w:jc w:val="center"/>
              <w:rPr>
                <w:sz w:val="28"/>
                <w:szCs w:val="28"/>
                <w:lang w:val="uk-UA"/>
              </w:rPr>
            </w:pPr>
            <w:r w:rsidRPr="00812569">
              <w:rPr>
                <w:sz w:val="28"/>
                <w:szCs w:val="28"/>
                <w:lang w:val="uk-UA"/>
              </w:rPr>
              <w:t>1 консультація</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22,54</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4,51</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b/>
                <w:sz w:val="28"/>
                <w:szCs w:val="28"/>
                <w:lang w:val="uk-UA"/>
              </w:rPr>
            </w:pPr>
            <w:r w:rsidRPr="00812569">
              <w:rPr>
                <w:b/>
                <w:sz w:val="28"/>
                <w:szCs w:val="28"/>
                <w:lang w:val="uk-UA"/>
              </w:rPr>
              <w:t>27,05</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2</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jc w:val="both"/>
              <w:rPr>
                <w:sz w:val="28"/>
                <w:szCs w:val="28"/>
                <w:lang w:val="uk-UA"/>
              </w:rPr>
            </w:pPr>
            <w:r w:rsidRPr="00812569">
              <w:rPr>
                <w:sz w:val="28"/>
                <w:szCs w:val="28"/>
                <w:lang w:val="uk-UA"/>
              </w:rPr>
              <w:t>Консультація лікаря</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tabs>
                <w:tab w:val="left" w:pos="255"/>
              </w:tabs>
              <w:ind w:left="-123" w:right="-112"/>
              <w:jc w:val="center"/>
              <w:rPr>
                <w:sz w:val="28"/>
                <w:szCs w:val="28"/>
                <w:lang w:val="uk-UA"/>
              </w:rPr>
            </w:pPr>
            <w:r w:rsidRPr="00812569">
              <w:rPr>
                <w:sz w:val="28"/>
                <w:szCs w:val="28"/>
                <w:lang w:val="uk-UA"/>
              </w:rPr>
              <w:t>1 консультація</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56,61</w:t>
            </w:r>
          </w:p>
        </w:tc>
        <w:tc>
          <w:tcPr>
            <w:tcW w:w="1118"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sz w:val="28"/>
                <w:szCs w:val="28"/>
                <w:lang w:val="uk-UA"/>
              </w:rPr>
            </w:pPr>
            <w:r w:rsidRPr="00812569">
              <w:rPr>
                <w:sz w:val="28"/>
                <w:szCs w:val="28"/>
                <w:lang w:val="uk-UA"/>
              </w:rPr>
              <w:t>11,32</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3DB0">
            <w:pPr>
              <w:jc w:val="center"/>
              <w:rPr>
                <w:b/>
                <w:sz w:val="28"/>
                <w:szCs w:val="28"/>
                <w:lang w:val="uk-UA"/>
              </w:rPr>
            </w:pPr>
            <w:r w:rsidRPr="00812569">
              <w:rPr>
                <w:b/>
                <w:sz w:val="28"/>
                <w:szCs w:val="28"/>
                <w:lang w:val="uk-UA"/>
              </w:rPr>
              <w:t>67,93</w:t>
            </w:r>
          </w:p>
        </w:tc>
      </w:tr>
      <w:tr w:rsidR="0082339D" w:rsidRPr="00812569" w:rsidTr="00043DB0">
        <w:trPr>
          <w:trHeight w:val="20"/>
        </w:trPr>
        <w:tc>
          <w:tcPr>
            <w:tcW w:w="9696" w:type="dxa"/>
            <w:gridSpan w:val="7"/>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b/>
                <w:sz w:val="28"/>
                <w:szCs w:val="28"/>
                <w:lang w:val="uk-UA"/>
              </w:rPr>
            </w:pPr>
            <w:r w:rsidRPr="00812569">
              <w:rPr>
                <w:b/>
                <w:sz w:val="28"/>
                <w:szCs w:val="28"/>
                <w:lang w:val="uk-UA"/>
              </w:rPr>
              <w:t>ІV.</w:t>
            </w:r>
            <w:r w:rsidR="00043DB0">
              <w:rPr>
                <w:b/>
                <w:sz w:val="28"/>
                <w:szCs w:val="28"/>
                <w:lang w:val="uk-UA"/>
              </w:rPr>
              <w:t> </w:t>
            </w:r>
            <w:r w:rsidRPr="00812569">
              <w:rPr>
                <w:b/>
                <w:sz w:val="28"/>
                <w:szCs w:val="28"/>
                <w:lang w:val="uk-UA"/>
              </w:rPr>
              <w:t>Щеплення поза Календарем профілактичних щеплень</w:t>
            </w:r>
          </w:p>
        </w:tc>
      </w:tr>
      <w:tr w:rsidR="00043DB0" w:rsidRPr="00812569" w:rsidTr="00047E8A">
        <w:trPr>
          <w:trHeight w:val="20"/>
        </w:trPr>
        <w:tc>
          <w:tcPr>
            <w:tcW w:w="120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w:t>
            </w:r>
            <w:r w:rsidR="00043DB0">
              <w:rPr>
                <w:sz w:val="28"/>
                <w:szCs w:val="28"/>
                <w:lang w:val="uk-UA"/>
              </w:rPr>
              <w:t>.</w:t>
            </w:r>
          </w:p>
        </w:tc>
        <w:tc>
          <w:tcPr>
            <w:tcW w:w="3561" w:type="dxa"/>
            <w:tcBorders>
              <w:top w:val="single" w:sz="4" w:space="0" w:color="auto"/>
              <w:left w:val="single" w:sz="4" w:space="0" w:color="auto"/>
              <w:bottom w:val="single" w:sz="4" w:space="0" w:color="auto"/>
              <w:right w:val="single" w:sz="4" w:space="0" w:color="auto"/>
            </w:tcBorders>
            <w:hideMark/>
          </w:tcPr>
          <w:p w:rsidR="0082339D" w:rsidRPr="00812569" w:rsidRDefault="0082339D" w:rsidP="00047E8A">
            <w:pPr>
              <w:ind w:right="-14"/>
              <w:jc w:val="both"/>
              <w:rPr>
                <w:sz w:val="28"/>
                <w:szCs w:val="28"/>
                <w:lang w:val="uk-UA"/>
              </w:rPr>
            </w:pPr>
            <w:r w:rsidRPr="00812569">
              <w:rPr>
                <w:sz w:val="28"/>
                <w:szCs w:val="28"/>
                <w:lang w:val="uk-UA"/>
              </w:rPr>
              <w:t>Проведення профілактич</w:t>
            </w:r>
            <w:r w:rsidR="00047E8A">
              <w:rPr>
                <w:sz w:val="28"/>
                <w:szCs w:val="28"/>
                <w:lang w:val="uk-UA"/>
              </w:rPr>
              <w:t>-</w:t>
            </w:r>
            <w:r w:rsidRPr="00812569">
              <w:rPr>
                <w:sz w:val="28"/>
                <w:szCs w:val="28"/>
                <w:lang w:val="uk-UA"/>
              </w:rPr>
              <w:t>них щеплень (вартість вакцини не включена)</w:t>
            </w:r>
          </w:p>
        </w:tc>
        <w:tc>
          <w:tcPr>
            <w:tcW w:w="1573"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1 досл.</w:t>
            </w:r>
          </w:p>
        </w:tc>
        <w:tc>
          <w:tcPr>
            <w:tcW w:w="1118"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32,49</w:t>
            </w:r>
          </w:p>
        </w:tc>
        <w:tc>
          <w:tcPr>
            <w:tcW w:w="1046" w:type="dxa"/>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sz w:val="28"/>
                <w:szCs w:val="28"/>
                <w:lang w:val="uk-UA"/>
              </w:rPr>
            </w:pPr>
            <w:r w:rsidRPr="00812569">
              <w:rPr>
                <w:sz w:val="28"/>
                <w:szCs w:val="28"/>
                <w:lang w:val="uk-UA"/>
              </w:rPr>
              <w:t>6,50</w:t>
            </w:r>
          </w:p>
        </w:tc>
        <w:tc>
          <w:tcPr>
            <w:tcW w:w="1190" w:type="dxa"/>
            <w:gridSpan w:val="2"/>
            <w:tcBorders>
              <w:top w:val="single" w:sz="4" w:space="0" w:color="auto"/>
              <w:left w:val="single" w:sz="4" w:space="0" w:color="auto"/>
              <w:bottom w:val="single" w:sz="4" w:space="0" w:color="auto"/>
              <w:right w:val="single" w:sz="4" w:space="0" w:color="auto"/>
            </w:tcBorders>
            <w:hideMark/>
          </w:tcPr>
          <w:p w:rsidR="0082339D" w:rsidRPr="00812569" w:rsidRDefault="0082339D" w:rsidP="0082339D">
            <w:pPr>
              <w:tabs>
                <w:tab w:val="left" w:pos="255"/>
              </w:tabs>
              <w:jc w:val="center"/>
              <w:rPr>
                <w:b/>
                <w:sz w:val="28"/>
                <w:szCs w:val="28"/>
                <w:lang w:val="uk-UA"/>
              </w:rPr>
            </w:pPr>
            <w:r w:rsidRPr="00812569">
              <w:rPr>
                <w:b/>
                <w:sz w:val="28"/>
                <w:szCs w:val="28"/>
                <w:lang w:val="uk-UA"/>
              </w:rPr>
              <w:t>38,99</w:t>
            </w:r>
          </w:p>
        </w:tc>
      </w:tr>
      <w:tr w:rsidR="0082339D" w:rsidRPr="00812569" w:rsidTr="00043DB0">
        <w:trPr>
          <w:trHeight w:val="20"/>
        </w:trPr>
        <w:tc>
          <w:tcPr>
            <w:tcW w:w="9696" w:type="dxa"/>
            <w:gridSpan w:val="7"/>
            <w:tcBorders>
              <w:top w:val="single" w:sz="4" w:space="0" w:color="auto"/>
              <w:left w:val="nil"/>
              <w:bottom w:val="nil"/>
              <w:right w:val="nil"/>
            </w:tcBorders>
          </w:tcPr>
          <w:p w:rsidR="0082339D" w:rsidRPr="00812569" w:rsidRDefault="0082339D" w:rsidP="0082339D">
            <w:pPr>
              <w:tabs>
                <w:tab w:val="left" w:pos="255"/>
              </w:tabs>
              <w:rPr>
                <w:sz w:val="28"/>
                <w:szCs w:val="28"/>
                <w:lang w:val="uk-UA"/>
              </w:rPr>
            </w:pPr>
          </w:p>
        </w:tc>
      </w:tr>
    </w:tbl>
    <w:p w:rsidR="0082339D" w:rsidRPr="00812569" w:rsidRDefault="0082339D" w:rsidP="0082339D">
      <w:pPr>
        <w:tabs>
          <w:tab w:val="left" w:pos="255"/>
        </w:tabs>
        <w:rPr>
          <w:sz w:val="28"/>
          <w:szCs w:val="28"/>
          <w:lang w:val="uk-UA"/>
        </w:rPr>
      </w:pPr>
    </w:p>
    <w:p w:rsidR="0082339D" w:rsidRDefault="0082339D" w:rsidP="0082339D">
      <w:pPr>
        <w:tabs>
          <w:tab w:val="left" w:pos="255"/>
        </w:tabs>
        <w:rPr>
          <w:sz w:val="28"/>
          <w:szCs w:val="28"/>
          <w:lang w:val="uk-UA"/>
        </w:rPr>
      </w:pPr>
    </w:p>
    <w:p w:rsidR="00043DB0" w:rsidRPr="00812569" w:rsidRDefault="00043DB0" w:rsidP="0082339D">
      <w:pPr>
        <w:tabs>
          <w:tab w:val="left" w:pos="255"/>
        </w:tabs>
        <w:rPr>
          <w:sz w:val="28"/>
          <w:szCs w:val="28"/>
          <w:lang w:val="uk-UA"/>
        </w:rPr>
      </w:pPr>
    </w:p>
    <w:p w:rsidR="00043DB0" w:rsidRDefault="0082339D" w:rsidP="0082339D">
      <w:pPr>
        <w:rPr>
          <w:sz w:val="28"/>
          <w:szCs w:val="28"/>
          <w:lang w:val="uk-UA"/>
        </w:rPr>
      </w:pPr>
      <w:r w:rsidRPr="00812569">
        <w:rPr>
          <w:sz w:val="28"/>
          <w:szCs w:val="28"/>
          <w:lang w:val="uk-UA"/>
        </w:rPr>
        <w:t xml:space="preserve">Керуючий справами </w:t>
      </w:r>
    </w:p>
    <w:p w:rsidR="0082339D" w:rsidRPr="00812569" w:rsidRDefault="0082339D" w:rsidP="0082339D">
      <w:pPr>
        <w:rPr>
          <w:sz w:val="28"/>
          <w:szCs w:val="28"/>
          <w:lang w:val="uk-UA"/>
        </w:rPr>
      </w:pPr>
      <w:r w:rsidRPr="00812569">
        <w:rPr>
          <w:sz w:val="28"/>
          <w:szCs w:val="28"/>
          <w:lang w:val="uk-UA"/>
        </w:rPr>
        <w:t>виконавчого</w:t>
      </w:r>
    </w:p>
    <w:p w:rsidR="0082339D" w:rsidRPr="00812569" w:rsidRDefault="0082339D" w:rsidP="0082339D">
      <w:pPr>
        <w:rPr>
          <w:sz w:val="28"/>
          <w:szCs w:val="28"/>
          <w:lang w:val="uk-UA"/>
        </w:rPr>
      </w:pPr>
      <w:r w:rsidRPr="00812569">
        <w:rPr>
          <w:sz w:val="28"/>
          <w:szCs w:val="28"/>
          <w:lang w:val="uk-UA"/>
        </w:rPr>
        <w:t>комітету міської ради</w:t>
      </w:r>
      <w:r w:rsidR="00043DB0">
        <w:rPr>
          <w:sz w:val="28"/>
          <w:szCs w:val="28"/>
          <w:lang w:val="uk-UA"/>
        </w:rPr>
        <w:tab/>
      </w:r>
      <w:r w:rsidR="00043DB0">
        <w:rPr>
          <w:sz w:val="28"/>
          <w:szCs w:val="28"/>
          <w:lang w:val="uk-UA"/>
        </w:rPr>
        <w:tab/>
      </w:r>
      <w:r w:rsidR="00043DB0">
        <w:rPr>
          <w:sz w:val="28"/>
          <w:szCs w:val="28"/>
          <w:lang w:val="uk-UA"/>
        </w:rPr>
        <w:tab/>
      </w:r>
      <w:r w:rsidR="00043DB0">
        <w:rPr>
          <w:sz w:val="28"/>
          <w:szCs w:val="28"/>
          <w:lang w:val="uk-UA"/>
        </w:rPr>
        <w:tab/>
      </w:r>
      <w:r w:rsidR="00043DB0">
        <w:rPr>
          <w:sz w:val="28"/>
          <w:szCs w:val="28"/>
          <w:lang w:val="uk-UA"/>
        </w:rPr>
        <w:tab/>
      </w:r>
      <w:r w:rsidR="00043DB0">
        <w:rPr>
          <w:sz w:val="28"/>
          <w:szCs w:val="28"/>
          <w:lang w:val="uk-UA"/>
        </w:rPr>
        <w:tab/>
      </w:r>
      <w:r w:rsidR="00043DB0">
        <w:rPr>
          <w:sz w:val="28"/>
          <w:szCs w:val="28"/>
          <w:lang w:val="uk-UA"/>
        </w:rPr>
        <w:tab/>
      </w:r>
      <w:r w:rsidRPr="00812569">
        <w:rPr>
          <w:sz w:val="28"/>
          <w:szCs w:val="28"/>
          <w:lang w:val="uk-UA"/>
        </w:rPr>
        <w:t>Любов ОЦАБРИКА</w:t>
      </w:r>
    </w:p>
    <w:p w:rsidR="003C6B92" w:rsidRPr="00812569" w:rsidRDefault="003C6B92" w:rsidP="00043DB0">
      <w:pPr>
        <w:jc w:val="both"/>
        <w:rPr>
          <w:sz w:val="28"/>
          <w:szCs w:val="28"/>
          <w:lang w:val="uk-UA"/>
        </w:rPr>
      </w:pPr>
    </w:p>
    <w:sectPr w:rsidR="003C6B92" w:rsidRPr="00812569" w:rsidSect="0082339D">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B0987"/>
    <w:multiLevelType w:val="multilevel"/>
    <w:tmpl w:val="2B2C7E6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49"/>
        </w:tabs>
        <w:ind w:left="1549" w:hanging="840"/>
      </w:pPr>
      <w:rPr>
        <w:rFonts w:hint="default"/>
      </w:rPr>
    </w:lvl>
    <w:lvl w:ilvl="2">
      <w:start w:val="1"/>
      <w:numFmt w:val="decimal"/>
      <w:isLgl/>
      <w:lvlText w:val="%1.%2.%3."/>
      <w:lvlJc w:val="left"/>
      <w:pPr>
        <w:tabs>
          <w:tab w:val="num" w:pos="1549"/>
        </w:tabs>
        <w:ind w:left="1549" w:hanging="84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95"/>
    <w:rsid w:val="00017688"/>
    <w:rsid w:val="000278C6"/>
    <w:rsid w:val="00043DB0"/>
    <w:rsid w:val="00047E8A"/>
    <w:rsid w:val="00173152"/>
    <w:rsid w:val="002240E3"/>
    <w:rsid w:val="003C6B92"/>
    <w:rsid w:val="00593E1B"/>
    <w:rsid w:val="00623195"/>
    <w:rsid w:val="00812569"/>
    <w:rsid w:val="0082339D"/>
    <w:rsid w:val="00881ABB"/>
    <w:rsid w:val="009C6759"/>
    <w:rsid w:val="009E2AA8"/>
    <w:rsid w:val="00A425EC"/>
    <w:rsid w:val="00B229A4"/>
    <w:rsid w:val="00E8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436A1B"/>
  <w15:chartTrackingRefBased/>
  <w15:docId w15:val="{F07993A4-A084-4D88-91FB-461C0D3B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55"/>
    <w:pPr>
      <w:ind w:firstLine="0"/>
      <w:jc w:val="left"/>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E86655"/>
    <w:pPr>
      <w:ind w:firstLine="720"/>
      <w:jc w:val="center"/>
    </w:pPr>
    <w:rPr>
      <w:szCs w:val="20"/>
      <w:lang w:val="uk-UA"/>
    </w:rPr>
  </w:style>
  <w:style w:type="paragraph" w:styleId="a4">
    <w:name w:val="Normal (Web)"/>
    <w:basedOn w:val="a"/>
    <w:unhideWhenUsed/>
    <w:rsid w:val="00E86655"/>
    <w:pPr>
      <w:spacing w:before="100" w:beforeAutospacing="1" w:after="100" w:afterAutospacing="1"/>
    </w:pPr>
    <w:rPr>
      <w:sz w:val="24"/>
      <w:szCs w:val="24"/>
    </w:rPr>
  </w:style>
  <w:style w:type="paragraph" w:styleId="a5">
    <w:name w:val="List Paragraph"/>
    <w:basedOn w:val="a"/>
    <w:qFormat/>
    <w:rsid w:val="00E86655"/>
    <w:pPr>
      <w:ind w:left="720" w:firstLine="709"/>
      <w:contextualSpacing/>
    </w:pPr>
    <w:rPr>
      <w:sz w:val="28"/>
      <w:szCs w:val="24"/>
    </w:rPr>
  </w:style>
  <w:style w:type="paragraph" w:customStyle="1" w:styleId="ShiftAlt">
    <w:name w:val="Додаток_основной_текст (Додаток___Shift+Alt)"/>
    <w:rsid w:val="00E86655"/>
    <w:pPr>
      <w:autoSpaceDE w:val="0"/>
      <w:autoSpaceDN w:val="0"/>
      <w:adjustRightInd w:val="0"/>
      <w:spacing w:line="210" w:lineRule="atLeast"/>
      <w:ind w:firstLine="227"/>
      <w:textAlignment w:val="center"/>
    </w:pPr>
    <w:rPr>
      <w:rFonts w:ascii="Times New Roman" w:eastAsia="Calibri" w:hAnsi="Times New Roman" w:cs="Myriad Pro"/>
      <w:color w:val="000000"/>
      <w:sz w:val="24"/>
      <w:szCs w:val="18"/>
      <w:lang w:val="uk-UA"/>
    </w:rPr>
  </w:style>
  <w:style w:type="character" w:customStyle="1" w:styleId="Bold">
    <w:name w:val="Bold"/>
    <w:rsid w:val="00E86655"/>
    <w:rPr>
      <w:rFonts w:ascii="Times New Roman" w:hAnsi="Times New Roman"/>
      <w:b/>
      <w:bCs/>
    </w:rPr>
  </w:style>
  <w:style w:type="paragraph" w:styleId="a6">
    <w:name w:val="Balloon Text"/>
    <w:basedOn w:val="a"/>
    <w:link w:val="a7"/>
    <w:uiPriority w:val="99"/>
    <w:semiHidden/>
    <w:unhideWhenUsed/>
    <w:rsid w:val="009C6759"/>
    <w:rPr>
      <w:rFonts w:ascii="Segoe UI" w:hAnsi="Segoe UI" w:cs="Segoe UI"/>
      <w:sz w:val="18"/>
      <w:szCs w:val="18"/>
    </w:rPr>
  </w:style>
  <w:style w:type="character" w:customStyle="1" w:styleId="a7">
    <w:name w:val="Текст выноски Знак"/>
    <w:basedOn w:val="a0"/>
    <w:link w:val="a6"/>
    <w:uiPriority w:val="99"/>
    <w:semiHidden/>
    <w:rsid w:val="009C675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5558">
      <w:bodyDiv w:val="1"/>
      <w:marLeft w:val="0"/>
      <w:marRight w:val="0"/>
      <w:marTop w:val="0"/>
      <w:marBottom w:val="0"/>
      <w:divBdr>
        <w:top w:val="none" w:sz="0" w:space="0" w:color="auto"/>
        <w:left w:val="none" w:sz="0" w:space="0" w:color="auto"/>
        <w:bottom w:val="none" w:sz="0" w:space="0" w:color="auto"/>
        <w:right w:val="none" w:sz="0" w:space="0" w:color="auto"/>
      </w:divBdr>
    </w:div>
    <w:div w:id="8512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D67E-EAFB-410E-8128-27D1788E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2021-10-07T11:57:00Z</cp:lastPrinted>
  <dcterms:created xsi:type="dcterms:W3CDTF">2021-09-28T10:10:00Z</dcterms:created>
  <dcterms:modified xsi:type="dcterms:W3CDTF">2021-10-07T11:57:00Z</dcterms:modified>
</cp:coreProperties>
</file>